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75515C" w14:textId="77777777" w:rsidR="00C32E34" w:rsidRPr="00A00C1B" w:rsidRDefault="00C32E34" w:rsidP="00C32E34">
      <w:pPr>
        <w:rPr>
          <w:rFonts w:cstheme="minorHAnsi"/>
          <w:b/>
          <w:bCs/>
          <w:i/>
          <w:iCs/>
          <w:lang w:val="en-US"/>
        </w:rPr>
      </w:pPr>
      <w:r w:rsidRPr="00A00C1B">
        <w:rPr>
          <w:rFonts w:cstheme="minorHAnsi"/>
          <w:b/>
          <w:bCs/>
          <w:i/>
          <w:iCs/>
          <w:lang w:val="en-US"/>
        </w:rPr>
        <w:t xml:space="preserve">Welcome to </w:t>
      </w:r>
      <w:proofErr w:type="spellStart"/>
      <w:r w:rsidRPr="00A00C1B">
        <w:rPr>
          <w:rFonts w:cstheme="minorHAnsi"/>
          <w:b/>
          <w:bCs/>
          <w:i/>
          <w:iCs/>
          <w:lang w:val="en-US"/>
        </w:rPr>
        <w:t>Stillman</w:t>
      </w:r>
      <w:proofErr w:type="spellEnd"/>
      <w:r w:rsidRPr="00A00C1B">
        <w:rPr>
          <w:rFonts w:cstheme="minorHAnsi"/>
          <w:b/>
          <w:bCs/>
          <w:i/>
          <w:iCs/>
          <w:lang w:val="en-US"/>
        </w:rPr>
        <w:t xml:space="preserve"> Translations preliminary onboarding assessment!</w:t>
      </w:r>
    </w:p>
    <w:p w14:paraId="20BEFB49" w14:textId="77777777" w:rsidR="00C32E34" w:rsidRDefault="00C32E34" w:rsidP="00C32E34">
      <w:pPr>
        <w:rPr>
          <w:rFonts w:cstheme="minorHAnsi"/>
          <w:i/>
          <w:iCs/>
          <w:lang w:val="en-US"/>
        </w:rPr>
      </w:pPr>
      <w:r>
        <w:rPr>
          <w:rFonts w:cstheme="minorHAnsi"/>
          <w:i/>
          <w:iCs/>
          <w:lang w:val="en-US"/>
        </w:rPr>
        <w:t>This assessment has 5 sections. Make sure to follow the instructions and complete all the information needed.</w:t>
      </w:r>
    </w:p>
    <w:p w14:paraId="59BAD039" w14:textId="77777777" w:rsidR="00C32E34" w:rsidRDefault="00C32E34" w:rsidP="00C32E34">
      <w:pPr>
        <w:rPr>
          <w:rFonts w:cstheme="minorHAnsi"/>
          <w:i/>
          <w:iCs/>
          <w:lang w:val="en-US"/>
        </w:rPr>
      </w:pPr>
      <w:r w:rsidRPr="001D0754">
        <w:rPr>
          <w:rFonts w:cstheme="minorHAnsi"/>
          <w:i/>
          <w:iCs/>
          <w:lang w:val="en-US"/>
        </w:rPr>
        <w:t xml:space="preserve">The goal of this request is to analyze your performance and </w:t>
      </w:r>
      <w:proofErr w:type="gramStart"/>
      <w:r w:rsidRPr="001D0754">
        <w:rPr>
          <w:rFonts w:cstheme="minorHAnsi"/>
          <w:i/>
          <w:iCs/>
          <w:lang w:val="en-US"/>
        </w:rPr>
        <w:t>your</w:t>
      </w:r>
      <w:proofErr w:type="gramEnd"/>
      <w:r w:rsidRPr="001D0754">
        <w:rPr>
          <w:rFonts w:cstheme="minorHAnsi"/>
          <w:i/>
          <w:iCs/>
          <w:lang w:val="en-US"/>
        </w:rPr>
        <w:t xml:space="preserve"> potential.</w:t>
      </w:r>
    </w:p>
    <w:p w14:paraId="6ED2F717" w14:textId="77777777" w:rsidR="00C32E34" w:rsidRDefault="00C32E34" w:rsidP="00C32E34">
      <w:pPr>
        <w:rPr>
          <w:rFonts w:cstheme="minorHAnsi"/>
          <w:i/>
          <w:iCs/>
          <w:lang w:val="en-US"/>
        </w:rPr>
      </w:pPr>
      <w:proofErr w:type="gramStart"/>
      <w:r w:rsidRPr="001D0754">
        <w:rPr>
          <w:rFonts w:cstheme="minorHAnsi"/>
          <w:i/>
          <w:iCs/>
          <w:lang w:val="en-US"/>
        </w:rPr>
        <w:t>Breath</w:t>
      </w:r>
      <w:proofErr w:type="gramEnd"/>
      <w:r w:rsidRPr="001D0754">
        <w:rPr>
          <w:rFonts w:cstheme="minorHAnsi"/>
          <w:i/>
          <w:iCs/>
          <w:lang w:val="en-US"/>
        </w:rPr>
        <w:t xml:space="preserve"> in and out</w:t>
      </w:r>
      <w:r>
        <w:rPr>
          <w:rFonts w:cstheme="minorHAnsi"/>
          <w:i/>
          <w:iCs/>
          <w:lang w:val="en-US"/>
        </w:rPr>
        <w:t>,</w:t>
      </w:r>
      <w:r w:rsidRPr="001D0754">
        <w:rPr>
          <w:rFonts w:cstheme="minorHAnsi"/>
          <w:i/>
          <w:iCs/>
          <w:lang w:val="en-US"/>
        </w:rPr>
        <w:t xml:space="preserve"> and do your best. Hope we can count on you soon!</w:t>
      </w:r>
    </w:p>
    <w:p w14:paraId="2E5E2C23" w14:textId="77777777" w:rsidR="00C32E34" w:rsidRPr="001D0754" w:rsidRDefault="00C32E34" w:rsidP="00C32E34">
      <w:pPr>
        <w:rPr>
          <w:rFonts w:cstheme="minorHAnsi"/>
          <w:i/>
          <w:iCs/>
          <w:lang w:val="en-US"/>
        </w:rPr>
      </w:pPr>
    </w:p>
    <w:p w14:paraId="6DCFFB13" w14:textId="77777777" w:rsidR="00C32E34" w:rsidRPr="0029735B" w:rsidRDefault="00C32E34" w:rsidP="00C32E34">
      <w:pPr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1. INSTRUCTIONS</w:t>
      </w:r>
    </w:p>
    <w:p w14:paraId="5EE0093A" w14:textId="77777777" w:rsidR="00C32E3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Below you will find a special instruction for section 3:</w:t>
      </w:r>
    </w:p>
    <w:p w14:paraId="53CEE3B1" w14:textId="77777777" w:rsidR="00C32E3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ind w:firstLine="270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*Please make sure target text mirrors source format.</w:t>
      </w:r>
    </w:p>
    <w:p w14:paraId="4301CD2D" w14:textId="5F6E6CB1" w:rsidR="00C32E3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ind w:firstLine="270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*Normalize spaces.</w:t>
      </w:r>
    </w:p>
    <w:p w14:paraId="2E05A557" w14:textId="33ECC5C9" w:rsidR="0029735B" w:rsidRDefault="0029735B" w:rsidP="00C32E34">
      <w:pPr>
        <w:rPr>
          <w:rFonts w:cstheme="minorHAnsi"/>
          <w:b/>
          <w:bCs/>
          <w:color w:val="000000" w:themeColor="text1"/>
          <w:u w:val="single"/>
          <w:lang w:val="en-US"/>
        </w:rPr>
      </w:pPr>
    </w:p>
    <w:p w14:paraId="372902F3" w14:textId="65DB6D86" w:rsidR="00C32E34" w:rsidRPr="0029735B" w:rsidRDefault="00C32E34" w:rsidP="00C32E34">
      <w:pPr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2. GLOSSARY</w:t>
      </w:r>
    </w:p>
    <w:p w14:paraId="6150E455" w14:textId="06D27A40" w:rsidR="00C32E34" w:rsidRPr="0029735B" w:rsidRDefault="00C32E34" w:rsidP="00C32E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i/>
          <w:iCs/>
          <w:color w:val="000000" w:themeColor="text1"/>
          <w:sz w:val="20"/>
          <w:szCs w:val="20"/>
          <w:lang w:val="en-US"/>
        </w:rPr>
      </w:pP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In this section, you are required to complete </w:t>
      </w:r>
      <w:r w:rsidR="00502332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>this</w:t>
      </w: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 task:</w:t>
      </w:r>
    </w:p>
    <w:p w14:paraId="77548B02" w14:textId="319547CC" w:rsidR="00C32E34" w:rsidRPr="0029735B" w:rsidRDefault="00C32E34" w:rsidP="00C32E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i/>
          <w:iCs/>
          <w:color w:val="000000" w:themeColor="text1"/>
          <w:sz w:val="20"/>
          <w:szCs w:val="20"/>
          <w:lang w:val="en-US"/>
        </w:rPr>
      </w:pP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ab/>
        <w:t xml:space="preserve">*Extract </w:t>
      </w:r>
      <w:r w:rsidR="00502332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>four</w:t>
      </w: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 terms (cells </w:t>
      </w:r>
      <w:r w:rsidR="00502332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>1 to</w:t>
      </w: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 4) from the text in Section 3 that you consider are worth being in the glossary.</w:t>
      </w:r>
    </w:p>
    <w:p w14:paraId="0165CEC8" w14:textId="77777777" w:rsidR="00C32E34" w:rsidRPr="004F6869" w:rsidRDefault="00C32E34" w:rsidP="00C32E34">
      <w:pPr>
        <w:spacing w:after="0"/>
        <w:rPr>
          <w:rFonts w:cstheme="minorHAnsi"/>
          <w:i/>
          <w:iCs/>
          <w:color w:val="000000" w:themeColor="text1"/>
          <w:lang w:val="en-U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08"/>
        <w:gridCol w:w="4007"/>
        <w:gridCol w:w="3979"/>
      </w:tblGrid>
      <w:tr w:rsidR="00C32E34" w:rsidRPr="00B832E6" w14:paraId="7F20A270" w14:textId="77777777" w:rsidTr="00670AB9">
        <w:tc>
          <w:tcPr>
            <w:tcW w:w="508" w:type="dxa"/>
          </w:tcPr>
          <w:p w14:paraId="39BA764B" w14:textId="77777777" w:rsidR="00C32E34" w:rsidRPr="00B832E6" w:rsidRDefault="00C32E34" w:rsidP="009657B8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</w:p>
        </w:tc>
        <w:tc>
          <w:tcPr>
            <w:tcW w:w="4007" w:type="dxa"/>
          </w:tcPr>
          <w:p w14:paraId="4158F875" w14:textId="3CDAAB52" w:rsidR="00C32E34" w:rsidRPr="00B832E6" w:rsidRDefault="00472318" w:rsidP="009657B8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Source</w:t>
            </w:r>
          </w:p>
        </w:tc>
        <w:tc>
          <w:tcPr>
            <w:tcW w:w="3979" w:type="dxa"/>
          </w:tcPr>
          <w:p w14:paraId="0D408450" w14:textId="7DF70251" w:rsidR="00C32E34" w:rsidRPr="00B832E6" w:rsidRDefault="00472318" w:rsidP="009657B8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Target</w:t>
            </w:r>
          </w:p>
        </w:tc>
      </w:tr>
      <w:tr w:rsidR="00C32E34" w14:paraId="75636ECF" w14:textId="77777777" w:rsidTr="00670AB9">
        <w:tc>
          <w:tcPr>
            <w:tcW w:w="508" w:type="dxa"/>
          </w:tcPr>
          <w:p w14:paraId="2204976E" w14:textId="77777777" w:rsidR="00C32E34" w:rsidRDefault="00C32E34" w:rsidP="009657B8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1</w:t>
            </w:r>
          </w:p>
        </w:tc>
        <w:tc>
          <w:tcPr>
            <w:tcW w:w="4007" w:type="dxa"/>
          </w:tcPr>
          <w:p w14:paraId="25320A70" w14:textId="7A462EFE" w:rsidR="00C32E34" w:rsidRPr="009D1F3B" w:rsidRDefault="00670AB9" w:rsidP="009657B8">
            <w:pPr>
              <w:rPr>
                <w:rFonts w:cstheme="minorHAnsi"/>
                <w:color w:val="000000" w:themeColor="text1"/>
                <w:lang w:val="en-US"/>
              </w:rPr>
            </w:pPr>
            <w:proofErr w:type="spellStart"/>
            <w:r>
              <w:rPr>
                <w:rFonts w:cstheme="minorHAnsi"/>
                <w:color w:val="000000" w:themeColor="text1"/>
                <w:lang w:val="en-US"/>
              </w:rPr>
              <w:t>nonachievement</w:t>
            </w:r>
            <w:proofErr w:type="spellEnd"/>
          </w:p>
        </w:tc>
        <w:tc>
          <w:tcPr>
            <w:tcW w:w="3979" w:type="dxa"/>
          </w:tcPr>
          <w:p w14:paraId="0BC73C5D" w14:textId="5F626B6A" w:rsidR="00C32E34" w:rsidRPr="009D1F3B" w:rsidRDefault="003B2EA1" w:rsidP="009657B8">
            <w:pPr>
              <w:rPr>
                <w:rFonts w:cstheme="minorHAnsi"/>
                <w:color w:val="000000" w:themeColor="text1"/>
                <w:lang w:val="en-US"/>
              </w:rPr>
            </w:pPr>
            <w:proofErr w:type="spellStart"/>
            <w:r>
              <w:rPr>
                <w:rFonts w:cstheme="minorHAnsi"/>
                <w:color w:val="000000" w:themeColor="text1"/>
                <w:lang w:val="en-US"/>
              </w:rPr>
              <w:t>escasez</w:t>
            </w:r>
            <w:proofErr w:type="spellEnd"/>
            <w:r>
              <w:rPr>
                <w:rFonts w:cstheme="minorHAnsi"/>
                <w:color w:val="000000" w:themeColor="text1"/>
                <w:lang w:val="en-US"/>
              </w:rPr>
              <w:t xml:space="preserve"> de </w:t>
            </w:r>
            <w:proofErr w:type="spellStart"/>
            <w:r>
              <w:rPr>
                <w:rFonts w:cstheme="minorHAnsi"/>
                <w:color w:val="000000" w:themeColor="text1"/>
                <w:lang w:val="en-US"/>
              </w:rPr>
              <w:t>éxito</w:t>
            </w:r>
            <w:proofErr w:type="spellEnd"/>
          </w:p>
        </w:tc>
      </w:tr>
      <w:tr w:rsidR="00670AB9" w14:paraId="22612430" w14:textId="77777777" w:rsidTr="00670AB9">
        <w:tc>
          <w:tcPr>
            <w:tcW w:w="508" w:type="dxa"/>
          </w:tcPr>
          <w:p w14:paraId="029EEFCB" w14:textId="77777777" w:rsidR="00670AB9" w:rsidRDefault="00670AB9" w:rsidP="00670AB9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2</w:t>
            </w:r>
          </w:p>
        </w:tc>
        <w:tc>
          <w:tcPr>
            <w:tcW w:w="4007" w:type="dxa"/>
          </w:tcPr>
          <w:p w14:paraId="2661E423" w14:textId="26AEFE9C" w:rsidR="00670AB9" w:rsidRDefault="00670AB9" w:rsidP="00670AB9">
            <w:pPr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dispersed governance</w:t>
            </w:r>
          </w:p>
        </w:tc>
        <w:tc>
          <w:tcPr>
            <w:tcW w:w="3979" w:type="dxa"/>
          </w:tcPr>
          <w:p w14:paraId="1479DEB3" w14:textId="74B06ECE" w:rsidR="00670AB9" w:rsidRPr="000C67EA" w:rsidRDefault="003B2EA1" w:rsidP="00670AB9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gobernanza dispersa</w:t>
            </w:r>
          </w:p>
        </w:tc>
      </w:tr>
      <w:tr w:rsidR="00670AB9" w14:paraId="53742921" w14:textId="77777777" w:rsidTr="00670AB9">
        <w:tc>
          <w:tcPr>
            <w:tcW w:w="508" w:type="dxa"/>
          </w:tcPr>
          <w:p w14:paraId="03B610E5" w14:textId="77777777" w:rsidR="00670AB9" w:rsidRDefault="00670AB9" w:rsidP="00670AB9">
            <w:pPr>
              <w:ind w:left="708" w:hanging="708"/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3</w:t>
            </w:r>
          </w:p>
        </w:tc>
        <w:tc>
          <w:tcPr>
            <w:tcW w:w="4007" w:type="dxa"/>
          </w:tcPr>
          <w:p w14:paraId="7AB2D14B" w14:textId="226A61B8" w:rsidR="00670AB9" w:rsidRDefault="00670AB9" w:rsidP="00670AB9">
            <w:pPr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delivery</w:t>
            </w:r>
          </w:p>
        </w:tc>
        <w:tc>
          <w:tcPr>
            <w:tcW w:w="3979" w:type="dxa"/>
          </w:tcPr>
          <w:p w14:paraId="39141B9D" w14:textId="6E67774B" w:rsidR="00670AB9" w:rsidRDefault="003B2EA1" w:rsidP="00670AB9">
            <w:pPr>
              <w:rPr>
                <w:rFonts w:cstheme="minorHAnsi"/>
                <w:color w:val="000000" w:themeColor="text1"/>
                <w:lang w:val="en-US"/>
              </w:rPr>
            </w:pPr>
            <w:proofErr w:type="spellStart"/>
            <w:r>
              <w:rPr>
                <w:rFonts w:cstheme="minorHAnsi"/>
                <w:color w:val="000000" w:themeColor="text1"/>
                <w:lang w:val="en-US"/>
              </w:rPr>
              <w:t>cumplimiento</w:t>
            </w:r>
            <w:proofErr w:type="spellEnd"/>
          </w:p>
        </w:tc>
      </w:tr>
      <w:tr w:rsidR="00670AB9" w14:paraId="18E6CD84" w14:textId="77777777" w:rsidTr="00670AB9">
        <w:tc>
          <w:tcPr>
            <w:tcW w:w="508" w:type="dxa"/>
          </w:tcPr>
          <w:p w14:paraId="2A5AC1B0" w14:textId="77777777" w:rsidR="00670AB9" w:rsidRDefault="00670AB9" w:rsidP="00670AB9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4</w:t>
            </w:r>
          </w:p>
        </w:tc>
        <w:tc>
          <w:tcPr>
            <w:tcW w:w="4007" w:type="dxa"/>
          </w:tcPr>
          <w:p w14:paraId="76C54996" w14:textId="6C2E934D" w:rsidR="00670AB9" w:rsidRDefault="003B2EA1" w:rsidP="00670AB9">
            <w:pPr>
              <w:rPr>
                <w:rFonts w:cstheme="minorHAnsi"/>
                <w:color w:val="000000" w:themeColor="text1"/>
                <w:lang w:val="en-US"/>
              </w:rPr>
            </w:pPr>
            <w:r w:rsidRPr="003B2EA1">
              <w:rPr>
                <w:rFonts w:cstheme="minorHAnsi"/>
                <w:color w:val="000000" w:themeColor="text1"/>
                <w:lang w:val="en-US"/>
              </w:rPr>
              <w:t>National Audit Office</w:t>
            </w:r>
          </w:p>
        </w:tc>
        <w:tc>
          <w:tcPr>
            <w:tcW w:w="3979" w:type="dxa"/>
          </w:tcPr>
          <w:p w14:paraId="09A4F8BB" w14:textId="2BACEF8C" w:rsidR="00670AB9" w:rsidRDefault="003B2EA1" w:rsidP="00670AB9">
            <w:pPr>
              <w:rPr>
                <w:rFonts w:cstheme="minorHAnsi"/>
                <w:color w:val="000000" w:themeColor="text1"/>
                <w:lang w:val="en-US"/>
              </w:rPr>
            </w:pPr>
            <w:proofErr w:type="spellStart"/>
            <w:r>
              <w:rPr>
                <w:rFonts w:cstheme="minorHAnsi"/>
                <w:color w:val="000000" w:themeColor="text1"/>
                <w:lang w:val="en-US"/>
              </w:rPr>
              <w:t>Oficina</w:t>
            </w:r>
            <w:proofErr w:type="spellEnd"/>
            <w:r>
              <w:rPr>
                <w:rFonts w:cstheme="minorHAnsi"/>
                <w:color w:val="000000" w:themeColor="text1"/>
                <w:lang w:val="en-US"/>
              </w:rPr>
              <w:t xml:space="preserve"> Nacional de </w:t>
            </w:r>
            <w:proofErr w:type="spellStart"/>
            <w:r>
              <w:rPr>
                <w:rFonts w:cstheme="minorHAnsi"/>
                <w:color w:val="000000" w:themeColor="text1"/>
                <w:lang w:val="en-US"/>
              </w:rPr>
              <w:t>Auditoría</w:t>
            </w:r>
            <w:proofErr w:type="spellEnd"/>
          </w:p>
        </w:tc>
      </w:tr>
    </w:tbl>
    <w:p w14:paraId="08B268C8" w14:textId="77777777" w:rsidR="0083356E" w:rsidRDefault="0083356E" w:rsidP="00C32E34">
      <w:pPr>
        <w:rPr>
          <w:rFonts w:cstheme="minorHAnsi"/>
          <w:b/>
          <w:bCs/>
          <w:color w:val="000000" w:themeColor="text1"/>
          <w:u w:val="single"/>
          <w:lang w:val="en-US"/>
        </w:rPr>
      </w:pPr>
    </w:p>
    <w:p w14:paraId="2FB2FB01" w14:textId="67FFD76F" w:rsidR="00C32E34" w:rsidRPr="0029735B" w:rsidRDefault="00C32E34" w:rsidP="00C32E34">
      <w:pPr>
        <w:spacing w:after="0"/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3. TRANSLATION</w:t>
      </w:r>
    </w:p>
    <w:p w14:paraId="0054101C" w14:textId="04BA43B0" w:rsidR="00C32E34" w:rsidRPr="008B27B3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rPr>
          <w:rFonts w:asciiTheme="minorHAnsi" w:hAnsiTheme="minorHAnsi" w:cstheme="minorHAnsi"/>
          <w:sz w:val="20"/>
        </w:rPr>
      </w:pPr>
      <w:r w:rsidRPr="008B27B3">
        <w:rPr>
          <w:rFonts w:asciiTheme="minorHAnsi" w:hAnsiTheme="minorHAnsi" w:cstheme="minorHAnsi"/>
          <w:sz w:val="20"/>
        </w:rPr>
        <w:t xml:space="preserve">Please, </w:t>
      </w:r>
      <w:r w:rsidR="00472318">
        <w:rPr>
          <w:rFonts w:asciiTheme="minorHAnsi" w:hAnsiTheme="minorHAnsi" w:cstheme="minorHAnsi"/>
          <w:sz w:val="20"/>
        </w:rPr>
        <w:t xml:space="preserve">add your </w:t>
      </w:r>
      <w:r w:rsidR="00A6385E">
        <w:rPr>
          <w:rFonts w:asciiTheme="minorHAnsi" w:hAnsiTheme="minorHAnsi" w:cstheme="minorHAnsi"/>
          <w:sz w:val="20"/>
        </w:rPr>
        <w:t xml:space="preserve">sample </w:t>
      </w:r>
      <w:r w:rsidR="00472318">
        <w:rPr>
          <w:rFonts w:asciiTheme="minorHAnsi" w:hAnsiTheme="minorHAnsi" w:cstheme="minorHAnsi"/>
          <w:sz w:val="20"/>
        </w:rPr>
        <w:t>translation below</w:t>
      </w:r>
      <w:r w:rsidR="00A6385E">
        <w:rPr>
          <w:rFonts w:asciiTheme="minorHAnsi" w:hAnsiTheme="minorHAnsi" w:cstheme="minorHAnsi"/>
          <w:sz w:val="20"/>
        </w:rPr>
        <w:t xml:space="preserve"> (between 300-500 words)</w:t>
      </w:r>
      <w:r w:rsidR="002B46B3">
        <w:rPr>
          <w:rFonts w:asciiTheme="minorHAnsi" w:hAnsiTheme="minorHAnsi" w:cstheme="minorHAnsi"/>
          <w:sz w:val="20"/>
        </w:rPr>
        <w:t>. Bear in mind this should be the best sample of your work!</w:t>
      </w:r>
    </w:p>
    <w:tbl>
      <w:tblPr>
        <w:tblStyle w:val="Tablaconcuadrcula"/>
        <w:tblW w:w="8725" w:type="dxa"/>
        <w:tblLook w:val="04A0" w:firstRow="1" w:lastRow="0" w:firstColumn="1" w:lastColumn="0" w:noHBand="0" w:noVBand="1"/>
      </w:tblPr>
      <w:tblGrid>
        <w:gridCol w:w="4135"/>
        <w:gridCol w:w="4590"/>
      </w:tblGrid>
      <w:tr w:rsidR="00472318" w:rsidRPr="00B832E6" w14:paraId="450D9B13" w14:textId="77777777" w:rsidTr="00670AB9">
        <w:tc>
          <w:tcPr>
            <w:tcW w:w="4135" w:type="dxa"/>
          </w:tcPr>
          <w:p w14:paraId="0C3C082F" w14:textId="75963AF1" w:rsidR="00472318" w:rsidRPr="00B832E6" w:rsidRDefault="00472318" w:rsidP="00670AB9">
            <w:pPr>
              <w:spacing w:line="360" w:lineRule="auto"/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Source</w:t>
            </w:r>
          </w:p>
        </w:tc>
        <w:tc>
          <w:tcPr>
            <w:tcW w:w="4590" w:type="dxa"/>
          </w:tcPr>
          <w:p w14:paraId="7612A9EB" w14:textId="3C59534D" w:rsidR="00472318" w:rsidRPr="00B832E6" w:rsidRDefault="00472318" w:rsidP="00670AB9">
            <w:pPr>
              <w:spacing w:line="360" w:lineRule="auto"/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Target</w:t>
            </w:r>
          </w:p>
        </w:tc>
      </w:tr>
      <w:tr w:rsidR="00472318" w14:paraId="1D0BC489" w14:textId="77777777" w:rsidTr="00670AB9">
        <w:tc>
          <w:tcPr>
            <w:tcW w:w="4135" w:type="dxa"/>
          </w:tcPr>
          <w:p w14:paraId="18833E80" w14:textId="0E4D899F" w:rsidR="00A32EA5" w:rsidRDefault="00A32EA5" w:rsidP="00670AB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2D4197"/>
                <w:sz w:val="24"/>
                <w:szCs w:val="24"/>
                <w:lang w:val="es-PE"/>
              </w:rPr>
            </w:pPr>
            <w:r w:rsidRPr="00A32EA5">
              <w:rPr>
                <w:rFonts w:ascii="Times New Roman" w:hAnsi="Times New Roman" w:cs="Times New Roman"/>
                <w:b/>
                <w:color w:val="2D4197"/>
                <w:sz w:val="24"/>
                <w:szCs w:val="24"/>
                <w:lang w:val="es-PE"/>
              </w:rPr>
              <w:t>2. Th</w:t>
            </w:r>
            <w:r w:rsidR="00670AB9">
              <w:rPr>
                <w:rFonts w:ascii="Times New Roman" w:hAnsi="Times New Roman" w:cs="Times New Roman"/>
                <w:b/>
                <w:color w:val="2D4197"/>
                <w:sz w:val="24"/>
                <w:szCs w:val="24"/>
                <w:lang w:val="es-PE"/>
              </w:rPr>
              <w:t xml:space="preserve">e </w:t>
            </w:r>
            <w:proofErr w:type="spellStart"/>
            <w:r w:rsidR="00670AB9">
              <w:rPr>
                <w:rFonts w:ascii="Times New Roman" w:hAnsi="Times New Roman" w:cs="Times New Roman"/>
                <w:b/>
                <w:color w:val="2D4197"/>
                <w:sz w:val="24"/>
                <w:szCs w:val="24"/>
                <w:lang w:val="es-PE"/>
              </w:rPr>
              <w:t>persistence</w:t>
            </w:r>
            <w:proofErr w:type="spellEnd"/>
            <w:r w:rsidR="00670AB9">
              <w:rPr>
                <w:rFonts w:ascii="Times New Roman" w:hAnsi="Times New Roman" w:cs="Times New Roman"/>
                <w:b/>
                <w:color w:val="2D4197"/>
                <w:sz w:val="24"/>
                <w:szCs w:val="24"/>
                <w:lang w:val="es-PE"/>
              </w:rPr>
              <w:t xml:space="preserve"> of </w:t>
            </w:r>
            <w:proofErr w:type="spellStart"/>
            <w:r w:rsidR="00670AB9">
              <w:rPr>
                <w:rFonts w:ascii="Times New Roman" w:hAnsi="Times New Roman" w:cs="Times New Roman"/>
                <w:b/>
                <w:color w:val="2D4197"/>
                <w:sz w:val="24"/>
                <w:szCs w:val="24"/>
                <w:lang w:val="es-PE"/>
              </w:rPr>
              <w:t>policy</w:t>
            </w:r>
            <w:proofErr w:type="spellEnd"/>
            <w:r w:rsidR="00670AB9">
              <w:rPr>
                <w:rFonts w:ascii="Times New Roman" w:hAnsi="Times New Roman" w:cs="Times New Roman"/>
                <w:b/>
                <w:color w:val="2D4197"/>
                <w:sz w:val="24"/>
                <w:szCs w:val="24"/>
                <w:lang w:val="es-PE"/>
              </w:rPr>
              <w:t xml:space="preserve"> </w:t>
            </w:r>
            <w:proofErr w:type="spellStart"/>
            <w:r w:rsidR="00670AB9">
              <w:rPr>
                <w:rFonts w:ascii="Times New Roman" w:hAnsi="Times New Roman" w:cs="Times New Roman"/>
                <w:b/>
                <w:color w:val="2D4197"/>
                <w:sz w:val="24"/>
                <w:szCs w:val="24"/>
                <w:lang w:val="es-PE"/>
              </w:rPr>
              <w:t>failure</w:t>
            </w:r>
            <w:proofErr w:type="spellEnd"/>
          </w:p>
          <w:p w14:paraId="4FA562F1" w14:textId="77777777" w:rsidR="00670AB9" w:rsidRPr="00670AB9" w:rsidRDefault="00670AB9" w:rsidP="00670AB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2D4197"/>
                <w:sz w:val="24"/>
                <w:szCs w:val="24"/>
                <w:lang w:val="es-PE"/>
              </w:rPr>
            </w:pPr>
          </w:p>
          <w:p w14:paraId="2334B0C5" w14:textId="76B11DD4" w:rsidR="00A32EA5" w:rsidRPr="00A32EA5" w:rsidRDefault="00A32EA5" w:rsidP="00670AB9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lang w:val="es-PE"/>
              </w:rPr>
            </w:pPr>
            <w:r w:rsidRPr="00670AB9">
              <w:rPr>
                <w:rFonts w:ascii="Times New Roman" w:hAnsi="Times New Roman" w:cs="Times New Roman"/>
                <w:color w:val="000000"/>
                <w:lang w:val="en-US"/>
              </w:rPr>
              <w:t>In order to better understand how to improve policy suppo</w:t>
            </w:r>
            <w:r w:rsidRPr="00670AB9">
              <w:rPr>
                <w:rFonts w:ascii="Times New Roman" w:hAnsi="Times New Roman" w:cs="Times New Roman"/>
                <w:color w:val="000000"/>
                <w:lang w:val="en-US"/>
              </w:rPr>
              <w:t>rt it is first of all instruct</w:t>
            </w:r>
            <w:r w:rsidRPr="00670AB9">
              <w:rPr>
                <w:rFonts w:ascii="Times New Roman" w:hAnsi="Times New Roman" w:cs="Times New Roman"/>
                <w:color w:val="000000"/>
                <w:lang w:val="en-US"/>
              </w:rPr>
              <w:t>ive to appreciate the nature of policy failure – logi</w:t>
            </w:r>
            <w:r w:rsidRPr="00670AB9">
              <w:rPr>
                <w:rFonts w:ascii="Times New Roman" w:hAnsi="Times New Roman" w:cs="Times New Roman"/>
                <w:color w:val="000000"/>
                <w:lang w:val="en-US"/>
              </w:rPr>
              <w:t xml:space="preserve">cally the reasons why things go </w:t>
            </w:r>
            <w:r w:rsidRPr="00670AB9">
              <w:rPr>
                <w:rFonts w:ascii="Times New Roman" w:hAnsi="Times New Roman" w:cs="Times New Roman"/>
                <w:color w:val="000000"/>
                <w:lang w:val="en-US"/>
              </w:rPr>
              <w:t xml:space="preserve">wrong should help to guide the search for potential </w:t>
            </w:r>
            <w:r w:rsidRPr="00670AB9">
              <w:rPr>
                <w:rFonts w:ascii="Times New Roman" w:hAnsi="Times New Roman" w:cs="Times New Roman"/>
                <w:color w:val="000000"/>
                <w:lang w:val="en-US"/>
              </w:rPr>
              <w:t xml:space="preserve">solutions. </w:t>
            </w:r>
            <w:proofErr w:type="spellStart"/>
            <w:r w:rsidRPr="00A32EA5">
              <w:rPr>
                <w:rFonts w:ascii="Times New Roman" w:hAnsi="Times New Roman" w:cs="Times New Roman"/>
                <w:color w:val="000000"/>
                <w:lang w:val="es-PE"/>
              </w:rPr>
              <w:t>There</w:t>
            </w:r>
            <w:proofErr w:type="spellEnd"/>
            <w:r w:rsidRPr="00A32EA5">
              <w:rPr>
                <w:rFonts w:ascii="Times New Roman" w:hAnsi="Times New Roman" w:cs="Times New Roman"/>
                <w:color w:val="000000"/>
                <w:lang w:val="es-PE"/>
              </w:rPr>
              <w:t xml:space="preserve"> </w:t>
            </w:r>
            <w:proofErr w:type="spellStart"/>
            <w:r w:rsidRPr="00A32EA5">
              <w:rPr>
                <w:rFonts w:ascii="Times New Roman" w:hAnsi="Times New Roman" w:cs="Times New Roman"/>
                <w:color w:val="000000"/>
                <w:lang w:val="es-PE"/>
              </w:rPr>
              <w:t>is</w:t>
            </w:r>
            <w:proofErr w:type="spellEnd"/>
            <w:r w:rsidRPr="00A32EA5">
              <w:rPr>
                <w:rFonts w:ascii="Times New Roman" w:hAnsi="Times New Roman" w:cs="Times New Roman"/>
                <w:color w:val="000000"/>
                <w:lang w:val="es-PE"/>
              </w:rPr>
              <w:t xml:space="preserve"> </w:t>
            </w:r>
            <w:proofErr w:type="spellStart"/>
            <w:r w:rsidRPr="00A32EA5">
              <w:rPr>
                <w:rFonts w:ascii="Times New Roman" w:hAnsi="Times New Roman" w:cs="Times New Roman"/>
                <w:color w:val="000000"/>
                <w:lang w:val="es-PE"/>
              </w:rPr>
              <w:t>now</w:t>
            </w:r>
            <w:proofErr w:type="spellEnd"/>
            <w:r w:rsidRPr="00A32EA5">
              <w:rPr>
                <w:rFonts w:ascii="Times New Roman" w:hAnsi="Times New Roman" w:cs="Times New Roman"/>
                <w:color w:val="000000"/>
                <w:lang w:val="es-PE"/>
              </w:rPr>
              <w:t xml:space="preserve"> </w:t>
            </w:r>
            <w:proofErr w:type="spellStart"/>
            <w:r w:rsidRPr="00A32EA5">
              <w:rPr>
                <w:rFonts w:ascii="Times New Roman" w:hAnsi="Times New Roman" w:cs="Times New Roman"/>
                <w:color w:val="000000"/>
                <w:lang w:val="es-PE"/>
              </w:rPr>
              <w:t>growing</w:t>
            </w:r>
            <w:proofErr w:type="spellEnd"/>
            <w:r w:rsidRPr="00A32EA5">
              <w:rPr>
                <w:rFonts w:ascii="Times New Roman" w:hAnsi="Times New Roman" w:cs="Times New Roman"/>
                <w:color w:val="000000"/>
                <w:lang w:val="es-PE"/>
              </w:rPr>
              <w:t xml:space="preserve"> </w:t>
            </w:r>
            <w:r w:rsidRPr="00A32EA5">
              <w:rPr>
                <w:rFonts w:ascii="Times New Roman" w:hAnsi="Times New Roman" w:cs="Times New Roman"/>
                <w:color w:val="000000"/>
                <w:lang w:val="es-PE"/>
              </w:rPr>
              <w:t xml:space="preserve">interest in </w:t>
            </w:r>
            <w:r w:rsidRPr="00A32EA5">
              <w:rPr>
                <w:rFonts w:ascii="Times New Roman" w:hAnsi="Times New Roman" w:cs="Times New Roman"/>
                <w:color w:val="000000"/>
                <w:lang w:val="es-PE"/>
              </w:rPr>
              <w:lastRenderedPageBreak/>
              <w:t>the notion of “polic</w:t>
            </w:r>
            <w:r w:rsidRPr="00A32EA5">
              <w:rPr>
                <w:rFonts w:ascii="Times New Roman" w:hAnsi="Times New Roman" w:cs="Times New Roman"/>
                <w:color w:val="000000"/>
                <w:lang w:val="es-PE"/>
              </w:rPr>
              <w:t xml:space="preserve">y failure” (Volker 2014) but as </w:t>
            </w:r>
            <w:r w:rsidRPr="00A32EA5">
              <w:rPr>
                <w:rFonts w:ascii="Times New Roman" w:hAnsi="Times New Roman" w:cs="Times New Roman"/>
                <w:color w:val="000000"/>
                <w:lang w:val="es-PE"/>
              </w:rPr>
              <w:t>McConnell (2015) has</w:t>
            </w:r>
            <w:r w:rsidRPr="00A32EA5">
              <w:rPr>
                <w:rFonts w:ascii="Times New Roman" w:hAnsi="Times New Roman" w:cs="Times New Roman"/>
                <w:color w:val="000000"/>
                <w:lang w:val="es-PE"/>
              </w:rPr>
              <w:t xml:space="preserve"> </w:t>
            </w:r>
            <w:r w:rsidRPr="00A32EA5">
              <w:rPr>
                <w:rFonts w:ascii="Times New Roman" w:hAnsi="Times New Roman" w:cs="Times New Roman"/>
                <w:color w:val="000000"/>
                <w:lang w:val="es-PE"/>
              </w:rPr>
              <w:t>noted, “failure” resides at the extreme end of a success–failure spectrum where it is</w:t>
            </w:r>
            <w:r w:rsidRPr="00A32EA5">
              <w:rPr>
                <w:rFonts w:ascii="Times New Roman" w:hAnsi="Times New Roman" w:cs="Times New Roman"/>
                <w:color w:val="000000"/>
                <w:lang w:val="es-PE"/>
              </w:rPr>
              <w:t xml:space="preserve"> </w:t>
            </w:r>
            <w:r w:rsidRPr="00A32EA5">
              <w:rPr>
                <w:rFonts w:ascii="Times New Roman" w:hAnsi="Times New Roman" w:cs="Times New Roman"/>
                <w:color w:val="000000"/>
                <w:lang w:val="es-PE"/>
              </w:rPr>
              <w:t xml:space="preserve">characterized by absolute </w:t>
            </w:r>
            <w:proofErr w:type="spellStart"/>
            <w:r w:rsidRPr="00A32EA5">
              <w:rPr>
                <w:rFonts w:ascii="Times New Roman" w:hAnsi="Times New Roman" w:cs="Times New Roman"/>
                <w:color w:val="000000"/>
                <w:lang w:val="es-PE"/>
              </w:rPr>
              <w:t>nonachievement</w:t>
            </w:r>
            <w:proofErr w:type="spellEnd"/>
            <w:r w:rsidRPr="00A32EA5">
              <w:rPr>
                <w:rFonts w:ascii="Times New Roman" w:hAnsi="Times New Roman" w:cs="Times New Roman"/>
                <w:color w:val="000000"/>
                <w:lang w:val="es-PE"/>
              </w:rPr>
              <w:t>. Such a situation will be unusual. As he</w:t>
            </w:r>
            <w:r w:rsidRPr="00A32EA5">
              <w:rPr>
                <w:rFonts w:ascii="Times New Roman" w:hAnsi="Times New Roman" w:cs="Times New Roman"/>
                <w:color w:val="000000"/>
                <w:lang w:val="es-PE"/>
              </w:rPr>
              <w:t xml:space="preserve"> </w:t>
            </w:r>
            <w:r w:rsidRPr="00A32EA5">
              <w:rPr>
                <w:rFonts w:ascii="Times New Roman" w:hAnsi="Times New Roman" w:cs="Times New Roman"/>
                <w:color w:val="000000"/>
                <w:lang w:val="es-PE"/>
              </w:rPr>
              <w:t>observes, “failure is rarely unequivocal and absolute ... even policies that have become</w:t>
            </w:r>
            <w:r w:rsidRPr="00A32EA5">
              <w:rPr>
                <w:rFonts w:ascii="Times New Roman" w:hAnsi="Times New Roman" w:cs="Times New Roman"/>
                <w:color w:val="000000"/>
                <w:lang w:val="es-PE"/>
              </w:rPr>
              <w:t xml:space="preserve"> </w:t>
            </w:r>
            <w:r w:rsidRPr="00A32EA5">
              <w:rPr>
                <w:rFonts w:ascii="Times New Roman" w:hAnsi="Times New Roman" w:cs="Times New Roman"/>
                <w:color w:val="000000"/>
                <w:lang w:val="es-PE"/>
              </w:rPr>
              <w:t>known as classic policy failures also produced small and modest successes” (p231).</w:t>
            </w:r>
          </w:p>
          <w:p w14:paraId="639CC080" w14:textId="5C9CAABC" w:rsidR="00A32EA5" w:rsidRPr="00A32EA5" w:rsidRDefault="00A32EA5" w:rsidP="00670AB9">
            <w:pPr>
              <w:spacing w:line="360" w:lineRule="auto"/>
              <w:jc w:val="both"/>
              <w:rPr>
                <w:rFonts w:cstheme="minorHAnsi"/>
                <w:color w:val="000000" w:themeColor="text1"/>
                <w:lang w:val="en-US"/>
              </w:rPr>
            </w:pPr>
            <w:r w:rsidRPr="00A32EA5">
              <w:rPr>
                <w:rFonts w:ascii="Times New Roman" w:hAnsi="Times New Roman" w:cs="Times New Roman"/>
                <w:color w:val="000000"/>
                <w:lang w:val="es-PE"/>
              </w:rPr>
              <w:t>Four broad contributors to policy failure can be identified: overly optimistic</w:t>
            </w:r>
            <w:r w:rsidRPr="00A32EA5">
              <w:rPr>
                <w:rFonts w:ascii="Times New Roman" w:hAnsi="Times New Roman" w:cs="Times New Roman"/>
                <w:color w:val="000000"/>
                <w:lang w:val="es-PE"/>
              </w:rPr>
              <w:t xml:space="preserve"> </w:t>
            </w:r>
            <w:r w:rsidRPr="00A32EA5">
              <w:rPr>
                <w:rFonts w:ascii="Times New Roman" w:hAnsi="Times New Roman" w:cs="Times New Roman"/>
                <w:color w:val="000000"/>
                <w:lang w:val="es-PE"/>
              </w:rPr>
              <w:t>expectations; implementation in dispersed governanc</w:t>
            </w:r>
            <w:r w:rsidRPr="00A32EA5">
              <w:rPr>
                <w:rFonts w:ascii="Times New Roman" w:hAnsi="Times New Roman" w:cs="Times New Roman"/>
                <w:color w:val="000000"/>
                <w:lang w:val="es-PE"/>
              </w:rPr>
              <w:t>e; inadequate collaborative pol</w:t>
            </w:r>
            <w:r w:rsidRPr="00A32EA5">
              <w:rPr>
                <w:rFonts w:ascii="Times New Roman" w:hAnsi="Times New Roman" w:cs="Times New Roman"/>
                <w:color w:val="000000"/>
                <w:lang w:val="es-PE"/>
              </w:rPr>
              <w:t>icymaking; and the vagaries of the political cycle.</w:t>
            </w:r>
          </w:p>
          <w:p w14:paraId="0F91DDB2" w14:textId="77777777" w:rsidR="00A32EA5" w:rsidRPr="00A32EA5" w:rsidRDefault="00A32EA5" w:rsidP="00670AB9">
            <w:pPr>
              <w:spacing w:line="360" w:lineRule="auto"/>
              <w:jc w:val="both"/>
              <w:rPr>
                <w:rFonts w:cstheme="minorHAnsi"/>
                <w:color w:val="000000" w:themeColor="text1"/>
                <w:lang w:val="en-US"/>
              </w:rPr>
            </w:pPr>
          </w:p>
          <w:p w14:paraId="69F2BE6B" w14:textId="77777777" w:rsidR="00A32EA5" w:rsidRPr="00A32EA5" w:rsidRDefault="00A32EA5" w:rsidP="00670AB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color w:val="2D4197"/>
                <w:sz w:val="24"/>
                <w:szCs w:val="24"/>
                <w:lang w:val="es-PE"/>
              </w:rPr>
            </w:pPr>
            <w:r w:rsidRPr="00A32EA5">
              <w:rPr>
                <w:rFonts w:ascii="Times New Roman" w:hAnsi="Times New Roman" w:cs="Times New Roman"/>
                <w:b/>
                <w:i/>
                <w:color w:val="2D4197"/>
                <w:sz w:val="24"/>
                <w:szCs w:val="24"/>
                <w:lang w:val="es-PE"/>
              </w:rPr>
              <w:t>2.1. Overly optimistic expectations</w:t>
            </w:r>
          </w:p>
          <w:p w14:paraId="63DB2771" w14:textId="77777777" w:rsidR="00A32EA5" w:rsidRDefault="00A32EA5" w:rsidP="00670AB9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lang w:val="es-PE"/>
              </w:rPr>
            </w:pPr>
            <w:r w:rsidRPr="00A32EA5">
              <w:rPr>
                <w:rFonts w:ascii="Times New Roman" w:hAnsi="Times New Roman" w:cs="Times New Roman"/>
                <w:color w:val="000000"/>
                <w:lang w:val="en-US"/>
              </w:rPr>
              <w:t>It might be especially thought that the bigger and more expensive policies – “major</w:t>
            </w:r>
            <w:r w:rsidRPr="00A32EA5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A32EA5">
              <w:rPr>
                <w:rFonts w:ascii="Times New Roman" w:hAnsi="Times New Roman" w:cs="Times New Roman"/>
                <w:color w:val="000000"/>
                <w:lang w:val="en-US"/>
              </w:rPr>
              <w:t>projects” – would be those most carefully assessed for risk, yet “</w:t>
            </w:r>
            <w:proofErr w:type="spellStart"/>
            <w:r w:rsidRPr="00A32EA5">
              <w:rPr>
                <w:rFonts w:ascii="Times New Roman" w:hAnsi="Times New Roman" w:cs="Times New Roman"/>
                <w:color w:val="000000"/>
                <w:lang w:val="en-US"/>
              </w:rPr>
              <w:t>overoptimism</w:t>
            </w:r>
            <w:proofErr w:type="spellEnd"/>
            <w:r w:rsidRPr="00A32EA5">
              <w:rPr>
                <w:rFonts w:ascii="Times New Roman" w:hAnsi="Times New Roman" w:cs="Times New Roman"/>
                <w:color w:val="000000"/>
                <w:lang w:val="en-US"/>
              </w:rPr>
              <w:t>” was</w:t>
            </w:r>
            <w:r w:rsidRPr="00A32EA5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A32EA5">
              <w:rPr>
                <w:rFonts w:ascii="Times New Roman" w:hAnsi="Times New Roman" w:cs="Times New Roman"/>
                <w:color w:val="000000"/>
                <w:lang w:val="en-US"/>
              </w:rPr>
              <w:t>the title given to an influential review of failure in major government projects in the</w:t>
            </w:r>
            <w:r w:rsidRPr="00A32EA5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A32EA5">
              <w:rPr>
                <w:rFonts w:ascii="Times New Roman" w:hAnsi="Times New Roman" w:cs="Times New Roman"/>
                <w:color w:val="000000"/>
                <w:lang w:val="en-US"/>
              </w:rPr>
              <w:t>UK by the National Audit Office (</w:t>
            </w:r>
            <w:r w:rsidRPr="00A32EA5">
              <w:rPr>
                <w:rFonts w:ascii="Times New Roman" w:hAnsi="Times New Roman" w:cs="Times New Roman"/>
                <w:color w:val="2D4197"/>
                <w:lang w:val="en-US"/>
              </w:rPr>
              <w:t>2013</w:t>
            </w:r>
            <w:r w:rsidRPr="00A32EA5">
              <w:rPr>
                <w:rFonts w:ascii="Times New Roman" w:hAnsi="Times New Roman" w:cs="Times New Roman"/>
                <w:color w:val="000000"/>
                <w:lang w:val="es-PE"/>
              </w:rPr>
              <w:t>).</w:t>
            </w:r>
            <w:r w:rsidRPr="00A32EA5">
              <w:rPr>
                <w:rFonts w:ascii="Times New Roman" w:hAnsi="Times New Roman" w:cs="Times New Roman"/>
                <w:color w:val="000000"/>
                <w:lang w:val="es-PE"/>
              </w:rPr>
              <w:t xml:space="preserve"> </w:t>
            </w:r>
            <w:r w:rsidRPr="00A32EA5">
              <w:rPr>
                <w:rFonts w:ascii="Times New Roman" w:hAnsi="Times New Roman" w:cs="Times New Roman"/>
                <w:color w:val="000000"/>
                <w:lang w:val="es-PE"/>
              </w:rPr>
              <w:t xml:space="preserve">It </w:t>
            </w:r>
            <w:proofErr w:type="spellStart"/>
            <w:r w:rsidRPr="00A32EA5">
              <w:rPr>
                <w:rFonts w:ascii="Times New Roman" w:hAnsi="Times New Roman" w:cs="Times New Roman"/>
                <w:color w:val="000000"/>
                <w:lang w:val="es-PE"/>
              </w:rPr>
              <w:t>noted</w:t>
            </w:r>
            <w:proofErr w:type="spellEnd"/>
            <w:r w:rsidRPr="00A32EA5">
              <w:rPr>
                <w:rFonts w:ascii="Times New Roman" w:hAnsi="Times New Roman" w:cs="Times New Roman"/>
                <w:color w:val="000000"/>
                <w:lang w:val="es-PE"/>
              </w:rPr>
              <w:t xml:space="preserve"> </w:t>
            </w:r>
            <w:proofErr w:type="spellStart"/>
            <w:r w:rsidRPr="00A32EA5">
              <w:rPr>
                <w:rFonts w:ascii="Times New Roman" w:hAnsi="Times New Roman" w:cs="Times New Roman"/>
                <w:color w:val="000000"/>
                <w:lang w:val="es-PE"/>
              </w:rPr>
              <w:t>this</w:t>
            </w:r>
            <w:proofErr w:type="spellEnd"/>
            <w:r w:rsidRPr="00A32EA5">
              <w:rPr>
                <w:rFonts w:ascii="Times New Roman" w:hAnsi="Times New Roman" w:cs="Times New Roman"/>
                <w:color w:val="000000"/>
                <w:lang w:val="es-PE"/>
              </w:rPr>
              <w:t xml:space="preserve"> to be:</w:t>
            </w:r>
          </w:p>
          <w:p w14:paraId="48FAF918" w14:textId="77777777" w:rsidR="00A32EA5" w:rsidRPr="00A64B28" w:rsidRDefault="00A32EA5" w:rsidP="00670AB9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16"/>
                <w:lang w:val="es-PE"/>
              </w:rPr>
            </w:pPr>
          </w:p>
          <w:p w14:paraId="7FA986CB" w14:textId="0F3946B2" w:rsidR="00A32EA5" w:rsidRDefault="00A32EA5" w:rsidP="00670AB9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s-PE"/>
              </w:rPr>
            </w:pPr>
            <w:r w:rsidRPr="00A32E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“A long-standing problem widely </w:t>
            </w:r>
            <w:proofErr w:type="spellStart"/>
            <w:r w:rsidRPr="00A32E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recognised</w:t>
            </w:r>
            <w:proofErr w:type="spellEnd"/>
            <w:r w:rsidRPr="00A32E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that too frequently results in the</w:t>
            </w:r>
            <w:r w:rsidRPr="00A32E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32E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underestimation of the time, cost</w:t>
            </w:r>
            <w:r w:rsidRPr="00A32E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s and risks to delivery and the </w:t>
            </w:r>
            <w:r w:rsidRPr="00A32E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overestimation of the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32E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benefits. It undermines value for money at best and, in the worst cases, leads to</w:t>
            </w:r>
            <w:r w:rsidRPr="00A32E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32E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unviable projects.” </w:t>
            </w:r>
            <w:r w:rsidRPr="00A32EA5">
              <w:rPr>
                <w:rFonts w:ascii="Times New Roman" w:hAnsi="Times New Roman" w:cs="Times New Roman"/>
                <w:color w:val="000000"/>
                <w:sz w:val="20"/>
                <w:szCs w:val="20"/>
                <w:lang w:val="es-PE"/>
              </w:rPr>
              <w:t>(3)</w:t>
            </w:r>
          </w:p>
          <w:p w14:paraId="2359D988" w14:textId="77777777" w:rsidR="00A32EA5" w:rsidRPr="00A32EA5" w:rsidRDefault="00A32EA5" w:rsidP="00670AB9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s-PE"/>
              </w:rPr>
            </w:pPr>
          </w:p>
          <w:p w14:paraId="65312A5A" w14:textId="77777777" w:rsidR="00A64B28" w:rsidRDefault="00A64B28" w:rsidP="00670AB9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14:paraId="2A32BBE7" w14:textId="77777777" w:rsidR="00A64B28" w:rsidRDefault="00A64B28" w:rsidP="00670AB9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14:paraId="797C1284" w14:textId="21914E3B" w:rsidR="00472318" w:rsidRDefault="00A32EA5" w:rsidP="00670AB9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32EA5">
              <w:rPr>
                <w:rFonts w:ascii="Times New Roman" w:hAnsi="Times New Roman" w:cs="Times New Roman"/>
                <w:color w:val="000000"/>
                <w:lang w:val="en-US"/>
              </w:rPr>
              <w:t xml:space="preserve">The study identified five interacting factors contributing to such </w:t>
            </w:r>
            <w:proofErr w:type="spellStart"/>
            <w:r w:rsidRPr="00A32EA5">
              <w:rPr>
                <w:rFonts w:ascii="Times New Roman" w:hAnsi="Times New Roman" w:cs="Times New Roman"/>
                <w:color w:val="000000"/>
                <w:lang w:val="en-US"/>
              </w:rPr>
              <w:t>overoptimism</w:t>
            </w:r>
            <w:proofErr w:type="spellEnd"/>
            <w:r w:rsidRPr="00A32EA5">
              <w:rPr>
                <w:rFonts w:ascii="Times New Roman" w:hAnsi="Times New Roman" w:cs="Times New Roman"/>
                <w:color w:val="000000"/>
                <w:lang w:val="en-US"/>
              </w:rPr>
              <w:t>: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A32EA5">
              <w:rPr>
                <w:rFonts w:ascii="Times New Roman" w:hAnsi="Times New Roman" w:cs="Times New Roman"/>
                <w:color w:val="000000"/>
                <w:lang w:val="en-US"/>
              </w:rPr>
              <w:t>complexity (underestimation of the delivery challenges); evidence base (insufficient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A32EA5">
              <w:rPr>
                <w:rFonts w:ascii="Times New Roman" w:hAnsi="Times New Roman" w:cs="Times New Roman"/>
                <w:color w:val="000000"/>
                <w:lang w:val="en-US"/>
              </w:rPr>
              <w:t>objective, accurate and timely information on costs, t</w:t>
            </w:r>
            <w:r w:rsidR="00670AB9">
              <w:rPr>
                <w:rFonts w:ascii="Times New Roman" w:hAnsi="Times New Roman" w:cs="Times New Roman"/>
                <w:color w:val="000000"/>
                <w:lang w:val="en-US"/>
              </w:rPr>
              <w:t xml:space="preserve">imescales, benefits and risks); </w:t>
            </w:r>
            <w:r w:rsidRPr="00A32EA5">
              <w:rPr>
                <w:rFonts w:ascii="Times New Roman" w:hAnsi="Times New Roman" w:cs="Times New Roman"/>
                <w:color w:val="000000"/>
                <w:lang w:val="en-US"/>
              </w:rPr>
              <w:t>misunderstanding of stakeholders (optimism about the ability to align different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A32EA5">
              <w:rPr>
                <w:rFonts w:ascii="Times New Roman" w:hAnsi="Times New Roman" w:cs="Times New Roman"/>
                <w:color w:val="000000"/>
                <w:lang w:val="en-US"/>
              </w:rPr>
              <w:t>views); behavior and Incentives (interested parties boosting their own prospects); and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A32EA5">
              <w:rPr>
                <w:rFonts w:ascii="Times New Roman" w:hAnsi="Times New Roman" w:cs="Times New Roman"/>
                <w:color w:val="000000"/>
                <w:lang w:val="en-US"/>
              </w:rPr>
              <w:t>challenge and accountability (decision-makers seeking short-term recognition).</w:t>
            </w:r>
          </w:p>
          <w:p w14:paraId="2D4C9D5A" w14:textId="0301DCB1" w:rsidR="00A32EA5" w:rsidRPr="00A32EA5" w:rsidRDefault="00A32EA5" w:rsidP="00670AB9">
            <w:pPr>
              <w:spacing w:line="36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590" w:type="dxa"/>
          </w:tcPr>
          <w:p w14:paraId="4027C13E" w14:textId="77777777" w:rsidR="00A32EA5" w:rsidRPr="002C0C44" w:rsidRDefault="00A32EA5" w:rsidP="00670AB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2D4197"/>
                <w:sz w:val="24"/>
                <w:szCs w:val="24"/>
                <w:lang w:val="es-PE"/>
              </w:rPr>
            </w:pPr>
            <w:r w:rsidRPr="002C0C44">
              <w:rPr>
                <w:rFonts w:ascii="Times New Roman" w:hAnsi="Times New Roman" w:cs="Times New Roman"/>
                <w:b/>
                <w:color w:val="2D4197"/>
                <w:sz w:val="24"/>
                <w:szCs w:val="24"/>
                <w:lang w:val="es-PE"/>
              </w:rPr>
              <w:lastRenderedPageBreak/>
              <w:t>2. La persistencia del fracaso de las políticas</w:t>
            </w:r>
          </w:p>
          <w:p w14:paraId="502D4841" w14:textId="3A35B6B2" w:rsidR="00A32EA5" w:rsidRPr="002C0C44" w:rsidRDefault="00A32EA5" w:rsidP="00670AB9">
            <w:pPr>
              <w:spacing w:line="360" w:lineRule="auto"/>
              <w:jc w:val="both"/>
              <w:rPr>
                <w:rFonts w:ascii="Times New Roman" w:hAnsi="Times New Roman" w:cs="Times New Roman"/>
                <w:lang w:val="es-PE"/>
              </w:rPr>
            </w:pPr>
            <w:r w:rsidRPr="002C0C44">
              <w:rPr>
                <w:rFonts w:ascii="Times New Roman" w:hAnsi="Times New Roman" w:cs="Times New Roman"/>
                <w:color w:val="000000"/>
                <w:lang w:val="es-PE"/>
              </w:rPr>
              <w:t xml:space="preserve">Para poder comprender mejor cómo optimizar el apoyo a las políticas es primordial apreciar la naturaleza del fracaso de las políticas, lógicamente, saber las razones por las que las cosas salen mal debería ayudar a guiar la búsqueda de potenciales soluciones. Existe ahora un interés </w:t>
            </w:r>
            <w:r w:rsidRPr="002C0C44">
              <w:rPr>
                <w:rFonts w:ascii="Times New Roman" w:hAnsi="Times New Roman" w:cs="Times New Roman"/>
                <w:color w:val="000000"/>
                <w:lang w:val="es-PE"/>
              </w:rPr>
              <w:lastRenderedPageBreak/>
              <w:t>creciente en la noción de “fracaso de las políticas” (</w:t>
            </w:r>
            <w:proofErr w:type="spellStart"/>
            <w:r w:rsidRPr="002C0C44">
              <w:rPr>
                <w:rFonts w:ascii="Times New Roman" w:hAnsi="Times New Roman" w:cs="Times New Roman"/>
                <w:color w:val="000000"/>
                <w:lang w:val="es-PE"/>
              </w:rPr>
              <w:t>Volker</w:t>
            </w:r>
            <w:proofErr w:type="spellEnd"/>
            <w:r w:rsidRPr="002C0C44">
              <w:rPr>
                <w:rFonts w:ascii="Times New Roman" w:hAnsi="Times New Roman" w:cs="Times New Roman"/>
                <w:color w:val="000000"/>
                <w:lang w:val="es-PE"/>
              </w:rPr>
              <w:t xml:space="preserve"> </w:t>
            </w:r>
            <w:r w:rsidRPr="009A3F2A">
              <w:rPr>
                <w:rFonts w:ascii="Times New Roman" w:hAnsi="Times New Roman" w:cs="Times New Roman"/>
                <w:color w:val="2D4197"/>
                <w:lang w:val="es-PE"/>
              </w:rPr>
              <w:t>2014</w:t>
            </w:r>
            <w:r w:rsidRPr="002C0C44">
              <w:rPr>
                <w:rFonts w:ascii="Times New Roman" w:hAnsi="Times New Roman" w:cs="Times New Roman"/>
                <w:color w:val="000000"/>
                <w:lang w:val="es-PE"/>
              </w:rPr>
              <w:t xml:space="preserve">) pero como </w:t>
            </w:r>
            <w:proofErr w:type="spellStart"/>
            <w:r w:rsidRPr="002C0C44">
              <w:rPr>
                <w:rFonts w:ascii="Times New Roman" w:hAnsi="Times New Roman" w:cs="Times New Roman"/>
                <w:color w:val="000000"/>
                <w:lang w:val="es-PE"/>
              </w:rPr>
              <w:t>McConnell</w:t>
            </w:r>
            <w:proofErr w:type="spellEnd"/>
            <w:r w:rsidRPr="002C0C44">
              <w:rPr>
                <w:rFonts w:ascii="Times New Roman" w:hAnsi="Times New Roman" w:cs="Times New Roman"/>
                <w:color w:val="000000"/>
                <w:lang w:val="es-PE"/>
              </w:rPr>
              <w:t xml:space="preserve"> (</w:t>
            </w:r>
            <w:r w:rsidRPr="002C0C44">
              <w:rPr>
                <w:rFonts w:ascii="Times New Roman" w:hAnsi="Times New Roman" w:cs="Times New Roman"/>
                <w:color w:val="2D4197"/>
                <w:lang w:val="es-PE"/>
              </w:rPr>
              <w:t>2015</w:t>
            </w:r>
            <w:r w:rsidRPr="002C0C44">
              <w:rPr>
                <w:rFonts w:ascii="Times New Roman" w:hAnsi="Times New Roman" w:cs="Times New Roman"/>
                <w:color w:val="000000"/>
                <w:lang w:val="es-PE"/>
              </w:rPr>
              <w:t>) mencionó, el “fracaso” reside en el extremo final de un espectro éxito-fracaso en el que se le caracteriza por la escasez absoluta de éxito. Dicha situación ser</w:t>
            </w:r>
            <w:r w:rsidR="00670AB9">
              <w:rPr>
                <w:rFonts w:ascii="Times New Roman" w:hAnsi="Times New Roman" w:cs="Times New Roman"/>
                <w:color w:val="000000"/>
                <w:lang w:val="es-PE"/>
              </w:rPr>
              <w:t>ía</w:t>
            </w:r>
            <w:r w:rsidRPr="002C0C44">
              <w:rPr>
                <w:rFonts w:ascii="Times New Roman" w:hAnsi="Times New Roman" w:cs="Times New Roman"/>
                <w:color w:val="000000"/>
                <w:lang w:val="es-PE"/>
              </w:rPr>
              <w:t xml:space="preserve"> inusual. Como </w:t>
            </w:r>
            <w:proofErr w:type="spellStart"/>
            <w:r w:rsidRPr="002C0C44">
              <w:rPr>
                <w:rFonts w:ascii="Times New Roman" w:hAnsi="Times New Roman" w:cs="Times New Roman"/>
                <w:color w:val="000000"/>
                <w:lang w:val="es-PE"/>
              </w:rPr>
              <w:t>McConnell</w:t>
            </w:r>
            <w:proofErr w:type="spellEnd"/>
            <w:r w:rsidRPr="002C0C44">
              <w:rPr>
                <w:rFonts w:ascii="Times New Roman" w:hAnsi="Times New Roman" w:cs="Times New Roman"/>
                <w:color w:val="000000"/>
                <w:lang w:val="es-PE"/>
              </w:rPr>
              <w:t xml:space="preserve"> señala, “el fracaso es rara vez absoluto e inequívoco […] Incluso las políticas que se han ganado la fama de fracasos políticos clásicos también </w:t>
            </w:r>
            <w:r w:rsidR="003B2EA1">
              <w:rPr>
                <w:rFonts w:ascii="Times New Roman" w:hAnsi="Times New Roman" w:cs="Times New Roman"/>
                <w:color w:val="000000"/>
                <w:lang w:val="es-PE"/>
              </w:rPr>
              <w:t>han producido</w:t>
            </w:r>
            <w:r w:rsidRPr="002C0C44">
              <w:rPr>
                <w:rFonts w:ascii="Times New Roman" w:hAnsi="Times New Roman" w:cs="Times New Roman"/>
                <w:color w:val="000000"/>
                <w:lang w:val="es-PE"/>
              </w:rPr>
              <w:t xml:space="preserve"> logros pequeños y moderados” (p231)</w:t>
            </w:r>
            <w:r w:rsidRPr="002C0C44">
              <w:rPr>
                <w:rFonts w:ascii="Times New Roman" w:hAnsi="Times New Roman" w:cs="Times New Roman"/>
                <w:lang w:val="es-PE"/>
              </w:rPr>
              <w:t>.</w:t>
            </w:r>
          </w:p>
          <w:p w14:paraId="7439D28E" w14:textId="77777777" w:rsidR="00A32EA5" w:rsidRPr="002C0C44" w:rsidRDefault="00A32EA5" w:rsidP="00670AB9">
            <w:pPr>
              <w:spacing w:line="360" w:lineRule="auto"/>
              <w:ind w:firstLine="288"/>
              <w:jc w:val="both"/>
              <w:rPr>
                <w:rFonts w:ascii="Times New Roman" w:hAnsi="Times New Roman" w:cs="Times New Roman"/>
                <w:lang w:val="es-PE"/>
              </w:rPr>
            </w:pPr>
            <w:r w:rsidRPr="002C0C44">
              <w:rPr>
                <w:rFonts w:ascii="Times New Roman" w:hAnsi="Times New Roman" w:cs="Times New Roman"/>
                <w:color w:val="000000"/>
                <w:lang w:val="es-PE"/>
              </w:rPr>
              <w:t>Se pueden identificar cuatro factores generales del fracaso de las políticas: expectativas demasiado optimistas; implementación en la gobernanza dispersa; una inadecuada elaboración colaborativa de políticas; y los altibajos del ciclo político.</w:t>
            </w:r>
          </w:p>
          <w:p w14:paraId="694F95D5" w14:textId="77777777" w:rsidR="00A32EA5" w:rsidRPr="009D5AA3" w:rsidRDefault="00A32EA5" w:rsidP="00670AB9">
            <w:pPr>
              <w:spacing w:before="240" w:line="360" w:lineRule="auto"/>
              <w:jc w:val="both"/>
              <w:rPr>
                <w:rFonts w:ascii="Times New Roman" w:hAnsi="Times New Roman" w:cs="Times New Roman"/>
                <w:b/>
                <w:i/>
                <w:color w:val="2D4197"/>
                <w:sz w:val="24"/>
                <w:szCs w:val="24"/>
                <w:lang w:val="es-PE"/>
              </w:rPr>
            </w:pPr>
            <w:r w:rsidRPr="009D5AA3">
              <w:rPr>
                <w:rFonts w:ascii="Times New Roman" w:hAnsi="Times New Roman" w:cs="Times New Roman"/>
                <w:b/>
                <w:i/>
                <w:color w:val="2D4197"/>
                <w:sz w:val="24"/>
                <w:szCs w:val="24"/>
                <w:lang w:val="es-PE"/>
              </w:rPr>
              <w:t>2.1. Expectativas demasiado optimistas</w:t>
            </w:r>
          </w:p>
          <w:p w14:paraId="5F32DA85" w14:textId="3CF60120" w:rsidR="00A32EA5" w:rsidRDefault="00A32EA5" w:rsidP="00670AB9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lang w:val="es-PE"/>
              </w:rPr>
            </w:pPr>
            <w:r w:rsidRPr="002C0C44">
              <w:rPr>
                <w:rFonts w:ascii="Times New Roman" w:hAnsi="Times New Roman" w:cs="Times New Roman"/>
                <w:color w:val="000000"/>
                <w:lang w:val="es-PE"/>
              </w:rPr>
              <w:t xml:space="preserve">Se podría pensar particularmente que las políticas más importantes y costosas, es decir </w:t>
            </w:r>
            <w:r>
              <w:rPr>
                <w:rFonts w:ascii="Times New Roman" w:hAnsi="Times New Roman" w:cs="Times New Roman"/>
                <w:color w:val="000000"/>
                <w:lang w:val="es-PE"/>
              </w:rPr>
              <w:t xml:space="preserve">los </w:t>
            </w:r>
            <w:r w:rsidRPr="002C0C44">
              <w:rPr>
                <w:rFonts w:ascii="Times New Roman" w:hAnsi="Times New Roman" w:cs="Times New Roman"/>
                <w:color w:val="000000"/>
                <w:lang w:val="es-PE"/>
              </w:rPr>
              <w:t>“grandes proyectos”, serían aquellas que tienen la evaluación de riesgo más minuciosa; sin embargo, “optimismo excesivo” fu</w:t>
            </w:r>
            <w:r>
              <w:rPr>
                <w:rFonts w:ascii="Times New Roman" w:hAnsi="Times New Roman" w:cs="Times New Roman"/>
                <w:color w:val="000000"/>
                <w:lang w:val="es-PE"/>
              </w:rPr>
              <w:t xml:space="preserve">e el título que se le dio a un influyente análisis </w:t>
            </w:r>
            <w:r w:rsidRPr="002C0C44">
              <w:rPr>
                <w:rFonts w:ascii="Times New Roman" w:hAnsi="Times New Roman" w:cs="Times New Roman"/>
                <w:color w:val="000000"/>
                <w:lang w:val="es-PE"/>
              </w:rPr>
              <w:t>del</w:t>
            </w:r>
            <w:r>
              <w:rPr>
                <w:rFonts w:ascii="Times New Roman" w:hAnsi="Times New Roman" w:cs="Times New Roman"/>
                <w:color w:val="000000"/>
                <w:lang w:val="es-PE"/>
              </w:rPr>
              <w:t xml:space="preserve"> fracaso realizado</w:t>
            </w:r>
            <w:r w:rsidRPr="002C0C44">
              <w:rPr>
                <w:rFonts w:ascii="Times New Roman" w:hAnsi="Times New Roman" w:cs="Times New Roman"/>
                <w:color w:val="000000"/>
                <w:lang w:val="es-PE"/>
              </w:rPr>
              <w:t xml:space="preserve"> por la Oficina Nacional de Auditoría (</w:t>
            </w:r>
            <w:r w:rsidRPr="002C0C44">
              <w:rPr>
                <w:rFonts w:ascii="Times New Roman" w:hAnsi="Times New Roman" w:cs="Times New Roman"/>
                <w:color w:val="2D4197"/>
                <w:lang w:val="es-PE"/>
              </w:rPr>
              <w:t>2013</w:t>
            </w:r>
            <w:r w:rsidRPr="002C0C44">
              <w:rPr>
                <w:rFonts w:ascii="Times New Roman" w:hAnsi="Times New Roman" w:cs="Times New Roman"/>
                <w:color w:val="000000"/>
                <w:lang w:val="es-PE"/>
              </w:rPr>
              <w:t>) sobre grandes proyectos del go</w:t>
            </w:r>
            <w:r>
              <w:rPr>
                <w:rFonts w:ascii="Times New Roman" w:hAnsi="Times New Roman" w:cs="Times New Roman"/>
                <w:color w:val="000000"/>
                <w:lang w:val="es-PE"/>
              </w:rPr>
              <w:t>bierno en el Reino Unido.</w:t>
            </w:r>
            <w:r>
              <w:rPr>
                <w:rFonts w:ascii="Times New Roman" w:hAnsi="Times New Roman" w:cs="Times New Roman"/>
                <w:color w:val="000000"/>
                <w:lang w:val="es-P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es-PE"/>
              </w:rPr>
              <w:t xml:space="preserve">En el análisis </w:t>
            </w:r>
            <w:r w:rsidRPr="002C0C44">
              <w:rPr>
                <w:rFonts w:ascii="Times New Roman" w:hAnsi="Times New Roman" w:cs="Times New Roman"/>
                <w:color w:val="000000"/>
                <w:lang w:val="es-PE"/>
              </w:rPr>
              <w:t>se definió este optimismo como:</w:t>
            </w:r>
          </w:p>
          <w:p w14:paraId="4495F62D" w14:textId="77777777" w:rsidR="00A32EA5" w:rsidRPr="00A64B28" w:rsidRDefault="00A32EA5" w:rsidP="00670AB9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4"/>
                <w:lang w:val="es-PE"/>
              </w:rPr>
            </w:pPr>
          </w:p>
          <w:p w14:paraId="20FA3646" w14:textId="77777777" w:rsidR="00A32EA5" w:rsidRDefault="00A32EA5" w:rsidP="00670AB9">
            <w:pPr>
              <w:spacing w:line="360" w:lineRule="auto"/>
              <w:ind w:left="288" w:right="288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s-PE"/>
              </w:rPr>
            </w:pPr>
            <w:r w:rsidRPr="002C0C44">
              <w:rPr>
                <w:rFonts w:ascii="Times New Roman" w:hAnsi="Times New Roman" w:cs="Times New Roman"/>
                <w:color w:val="000000"/>
                <w:sz w:val="20"/>
                <w:szCs w:val="20"/>
                <w:lang w:val="es-PE"/>
              </w:rPr>
              <w:t xml:space="preserve">“Un problema arraigado, ampliamente reconocido, que resulta con frecuencia en la subestimación del tiempo, costos y riesgos del cumplimiento; y la sobreestimación de los beneficios. Esto socava el valor del dinero, en el </w:t>
            </w:r>
            <w:r w:rsidRPr="002C0C44">
              <w:rPr>
                <w:rFonts w:ascii="Times New Roman" w:hAnsi="Times New Roman" w:cs="Times New Roman"/>
                <w:color w:val="000000"/>
                <w:sz w:val="20"/>
                <w:szCs w:val="20"/>
                <w:lang w:val="es-PE"/>
              </w:rPr>
              <w:lastRenderedPageBreak/>
              <w:t>mejor de los casos, y conduce hacia proyectos inviables en el peor de los casos.” (3)</w:t>
            </w:r>
          </w:p>
          <w:p w14:paraId="4811F61D" w14:textId="77777777" w:rsidR="00A32EA5" w:rsidRPr="00A32EA5" w:rsidRDefault="00A32EA5" w:rsidP="00670AB9">
            <w:pPr>
              <w:spacing w:line="360" w:lineRule="auto"/>
              <w:ind w:left="288" w:right="288"/>
              <w:jc w:val="both"/>
              <w:rPr>
                <w:rFonts w:ascii="Times New Roman" w:hAnsi="Times New Roman" w:cs="Times New Roman"/>
                <w:sz w:val="12"/>
                <w:szCs w:val="26"/>
                <w:lang w:val="es-PE"/>
              </w:rPr>
            </w:pPr>
          </w:p>
          <w:p w14:paraId="6F3D484E" w14:textId="4D19BFED" w:rsidR="00A32EA5" w:rsidRPr="00A32EA5" w:rsidRDefault="00A32EA5" w:rsidP="00670AB9">
            <w:pPr>
              <w:pStyle w:val="NormalWeb"/>
              <w:spacing w:before="0" w:beforeAutospacing="0" w:after="0" w:afterAutospacing="0" w:line="360" w:lineRule="auto"/>
              <w:ind w:firstLine="288"/>
              <w:jc w:val="both"/>
              <w:rPr>
                <w:sz w:val="22"/>
                <w:szCs w:val="22"/>
                <w:lang w:val="es-PE"/>
              </w:rPr>
            </w:pPr>
            <w:r w:rsidRPr="002C0C44">
              <w:rPr>
                <w:color w:val="000000"/>
                <w:sz w:val="22"/>
                <w:szCs w:val="22"/>
                <w:lang w:val="es-PE"/>
              </w:rPr>
              <w:t>El estudio identificó cinco factores enlazados que contribuyen a dicho optimismo excesivo: complejidad (subestimación de los retos de cumplimiento); base de evidencia (pruebas insuficientes, información exacta y puntual sobre los costos, cronogramas, beneficios y riesgos); malentendidos entre las partes interesadas (optimismo por creer poseer la habilidad de alinear los diferentes puntos de vista); comportamiento e incentivos (las partes interesadas promueven sus propias perspectivas); y el reto y la responsabilidad (los que toman las decisiones buscan reconocimiento a corto plazo).</w:t>
            </w:r>
          </w:p>
        </w:tc>
      </w:tr>
    </w:tbl>
    <w:p w14:paraId="273A4F89" w14:textId="00DA78EE" w:rsidR="00BA77C8" w:rsidRPr="00A32EA5" w:rsidRDefault="00BA77C8" w:rsidP="00472318">
      <w:pPr>
        <w:jc w:val="center"/>
        <w:rPr>
          <w:rFonts w:cstheme="minorHAnsi"/>
          <w:color w:val="000000" w:themeColor="text1"/>
          <w:lang w:val="es-PE"/>
        </w:rPr>
      </w:pPr>
    </w:p>
    <w:p w14:paraId="4E33E9F9" w14:textId="5CF8A745" w:rsidR="00C32E34" w:rsidRPr="0029735B" w:rsidRDefault="00C32E34" w:rsidP="00C32E34">
      <w:pPr>
        <w:rPr>
          <w:rFonts w:cstheme="minorHAnsi"/>
          <w:b/>
          <w:bCs/>
          <w:color w:val="000000" w:themeColor="text1"/>
          <w:lang w:val="en-US"/>
        </w:rPr>
      </w:pPr>
      <w:bookmarkStart w:id="0" w:name="_Hlk40946237"/>
      <w:r w:rsidRPr="0029735B">
        <w:rPr>
          <w:rFonts w:cstheme="minorHAnsi"/>
          <w:b/>
          <w:bCs/>
          <w:color w:val="000000" w:themeColor="text1"/>
          <w:lang w:val="en-US"/>
        </w:rPr>
        <w:t>SECTION 4. QUESTIONS AND COMMENTS</w:t>
      </w:r>
    </w:p>
    <w:p w14:paraId="38A3D405" w14:textId="77777777" w:rsidR="00C32E34" w:rsidRPr="002169F4" w:rsidRDefault="00C32E34" w:rsidP="00C32E34">
      <w:pPr>
        <w:pStyle w:val="Instruct-Body"/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We also need to check your capacity to spot potential issues beforehand</w:t>
      </w:r>
      <w:r>
        <w:rPr>
          <w:rFonts w:asciiTheme="minorHAnsi" w:hAnsiTheme="minorHAnsi" w:cstheme="minorHAnsi"/>
          <w:noProof w:val="0"/>
          <w:sz w:val="20"/>
          <w:lang w:val="en-US"/>
        </w:rPr>
        <w:t>.</w:t>
      </w:r>
    </w:p>
    <w:p w14:paraId="00098B9A" w14:textId="77777777" w:rsidR="00C32E34" w:rsidRPr="002169F4" w:rsidRDefault="00C32E34" w:rsidP="00C32E34">
      <w:pPr>
        <w:pStyle w:val="Instruct-Body"/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In the table below, p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>lease list your questions and comments in relation with this test:</w:t>
      </w:r>
    </w:p>
    <w:p w14:paraId="093D46E0" w14:textId="77777777" w:rsidR="00C32E34" w:rsidRPr="002169F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1. </w:t>
      </w:r>
      <w:r>
        <w:rPr>
          <w:rFonts w:asciiTheme="minorHAnsi" w:hAnsiTheme="minorHAnsi" w:cstheme="minorHAnsi"/>
          <w:noProof w:val="0"/>
          <w:sz w:val="20"/>
          <w:lang w:val="en-US"/>
        </w:rPr>
        <w:t>Challenging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sections 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from 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the source text or sections you are unsure of should be copied or inserted into the </w:t>
      </w:r>
      <w:r w:rsidRPr="00A00C1B">
        <w:rPr>
          <w:rFonts w:asciiTheme="minorHAnsi" w:hAnsiTheme="minorHAnsi" w:cstheme="minorHAnsi"/>
          <w:b/>
          <w:bCs/>
          <w:noProof w:val="0"/>
          <w:sz w:val="20"/>
          <w:lang w:val="en-US"/>
        </w:rPr>
        <w:t>Source Text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column.</w:t>
      </w:r>
    </w:p>
    <w:p w14:paraId="0ED4AE23" w14:textId="77777777" w:rsidR="00C32E34" w:rsidRPr="002169F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2. Write your translation in the </w:t>
      </w:r>
      <w:r w:rsidRPr="00A00C1B">
        <w:rPr>
          <w:rFonts w:asciiTheme="minorHAnsi" w:hAnsiTheme="minorHAnsi" w:cstheme="minorHAnsi"/>
          <w:b/>
          <w:bCs/>
          <w:noProof w:val="0"/>
          <w:sz w:val="20"/>
          <w:lang w:val="en-US"/>
        </w:rPr>
        <w:t>Target Text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column.</w:t>
      </w:r>
    </w:p>
    <w:p w14:paraId="10291CAC" w14:textId="77777777" w:rsidR="00C32E34" w:rsidRPr="002169F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3. Doubts and comments should be written in English.</w:t>
      </w:r>
    </w:p>
    <w:p w14:paraId="143DBD5C" w14:textId="77777777" w:rsidR="00C32E34" w:rsidRPr="002169F4" w:rsidRDefault="00C32E34" w:rsidP="00C32E34">
      <w:pPr>
        <w:rPr>
          <w:rFonts w:cstheme="minorHAnsi"/>
          <w:color w:val="000000" w:themeColor="text1"/>
          <w:lang w:val="en-US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024"/>
        <w:gridCol w:w="3024"/>
        <w:gridCol w:w="3024"/>
      </w:tblGrid>
      <w:tr w:rsidR="00C32E34" w:rsidRPr="002169F4" w14:paraId="13DCBF8A" w14:textId="77777777" w:rsidTr="0029735B">
        <w:trPr>
          <w:cantSplit/>
          <w:jc w:val="center"/>
        </w:trPr>
        <w:tc>
          <w:tcPr>
            <w:tcW w:w="3024" w:type="dxa"/>
            <w:shd w:val="clear" w:color="auto" w:fill="B4C6E7" w:themeFill="accent1" w:themeFillTint="66"/>
          </w:tcPr>
          <w:p w14:paraId="1F962FA9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br/>
              <w:t>Source Text</w:t>
            </w:r>
          </w:p>
        </w:tc>
        <w:tc>
          <w:tcPr>
            <w:tcW w:w="3024" w:type="dxa"/>
            <w:shd w:val="clear" w:color="auto" w:fill="B4C6E7" w:themeFill="accent1" w:themeFillTint="66"/>
          </w:tcPr>
          <w:p w14:paraId="5FAF2161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br/>
              <w:t>Target Text</w:t>
            </w:r>
          </w:p>
        </w:tc>
        <w:tc>
          <w:tcPr>
            <w:tcW w:w="3024" w:type="dxa"/>
            <w:shd w:val="clear" w:color="auto" w:fill="B4C6E7" w:themeFill="accent1" w:themeFillTint="66"/>
          </w:tcPr>
          <w:p w14:paraId="5CA07CB3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t xml:space="preserve">Question / Comment </w:t>
            </w: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br/>
              <w:t>(in English)</w:t>
            </w:r>
          </w:p>
        </w:tc>
      </w:tr>
      <w:tr w:rsidR="00C32E34" w:rsidRPr="003B2EA1" w14:paraId="4E936DDB" w14:textId="77777777" w:rsidTr="009657B8">
        <w:trPr>
          <w:cantSplit/>
          <w:jc w:val="center"/>
        </w:trPr>
        <w:tc>
          <w:tcPr>
            <w:tcW w:w="3024" w:type="dxa"/>
          </w:tcPr>
          <w:p w14:paraId="16ACC2D0" w14:textId="775F5466" w:rsidR="00C32E34" w:rsidRPr="002169F4" w:rsidRDefault="003B2EA1" w:rsidP="009657B8">
            <w:pPr>
              <w:pStyle w:val="Table-Body"/>
              <w:rPr>
                <w:noProof w:val="0"/>
                <w:lang w:val="en-US"/>
              </w:rPr>
            </w:pPr>
            <w:r w:rsidRPr="003B2EA1">
              <w:rPr>
                <w:noProof w:val="0"/>
                <w:lang w:val="en-US"/>
              </w:rPr>
              <w:t>first of all instructive</w:t>
            </w:r>
          </w:p>
        </w:tc>
        <w:tc>
          <w:tcPr>
            <w:tcW w:w="3024" w:type="dxa"/>
          </w:tcPr>
          <w:p w14:paraId="7CBA6972" w14:textId="1F35B1D6" w:rsidR="00C32E34" w:rsidRPr="002169F4" w:rsidRDefault="003B2EA1" w:rsidP="009657B8">
            <w:pPr>
              <w:pStyle w:val="Table-Body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primordial</w:t>
            </w:r>
          </w:p>
        </w:tc>
        <w:tc>
          <w:tcPr>
            <w:tcW w:w="3024" w:type="dxa"/>
          </w:tcPr>
          <w:p w14:paraId="166C29FC" w14:textId="6847D086" w:rsidR="00C32E34" w:rsidRPr="002169F4" w:rsidRDefault="003B2EA1" w:rsidP="003B2EA1">
            <w:pPr>
              <w:pStyle w:val="Table-Body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This could have been difficult if translated literally. Instead, I have used an equivalent.</w:t>
            </w:r>
          </w:p>
        </w:tc>
      </w:tr>
      <w:tr w:rsidR="00C32E34" w:rsidRPr="003B2EA1" w14:paraId="4DF1136B" w14:textId="77777777" w:rsidTr="009657B8">
        <w:trPr>
          <w:cantSplit/>
          <w:jc w:val="center"/>
        </w:trPr>
        <w:tc>
          <w:tcPr>
            <w:tcW w:w="3024" w:type="dxa"/>
          </w:tcPr>
          <w:p w14:paraId="08EA4513" w14:textId="35A2F5BC" w:rsidR="00C32E34" w:rsidRPr="002169F4" w:rsidRDefault="003B2EA1" w:rsidP="009657B8">
            <w:pPr>
              <w:pStyle w:val="Table-Body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policy failure</w:t>
            </w:r>
          </w:p>
        </w:tc>
        <w:tc>
          <w:tcPr>
            <w:tcW w:w="3024" w:type="dxa"/>
          </w:tcPr>
          <w:p w14:paraId="1E68AD91" w14:textId="5DDB5E5E" w:rsidR="00C32E34" w:rsidRPr="002169F4" w:rsidRDefault="003B2EA1" w:rsidP="009657B8">
            <w:pPr>
              <w:pStyle w:val="Table-Body"/>
              <w:rPr>
                <w:noProof w:val="0"/>
                <w:lang w:val="en-US"/>
              </w:rPr>
            </w:pPr>
            <w:proofErr w:type="spellStart"/>
            <w:r>
              <w:rPr>
                <w:noProof w:val="0"/>
                <w:lang w:val="en-US"/>
              </w:rPr>
              <w:t>fracaso</w:t>
            </w:r>
            <w:proofErr w:type="spellEnd"/>
            <w:r>
              <w:rPr>
                <w:noProof w:val="0"/>
                <w:lang w:val="en-US"/>
              </w:rPr>
              <w:t xml:space="preserve"> de las </w:t>
            </w:r>
            <w:proofErr w:type="spellStart"/>
            <w:r>
              <w:rPr>
                <w:noProof w:val="0"/>
                <w:lang w:val="en-US"/>
              </w:rPr>
              <w:t>políticas</w:t>
            </w:r>
            <w:proofErr w:type="spellEnd"/>
          </w:p>
        </w:tc>
        <w:tc>
          <w:tcPr>
            <w:tcW w:w="3024" w:type="dxa"/>
          </w:tcPr>
          <w:p w14:paraId="30D747FA" w14:textId="79415235" w:rsidR="00C32E34" w:rsidRPr="002169F4" w:rsidRDefault="003B2EA1" w:rsidP="00A64B28">
            <w:pPr>
              <w:pStyle w:val="Table-Body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 xml:space="preserve">It was challenging to find the </w:t>
            </w:r>
            <w:r w:rsidR="00A64B28">
              <w:rPr>
                <w:noProof w:val="0"/>
                <w:lang w:val="en-US"/>
              </w:rPr>
              <w:t>correct</w:t>
            </w:r>
            <w:r>
              <w:rPr>
                <w:noProof w:val="0"/>
                <w:lang w:val="en-US"/>
              </w:rPr>
              <w:t xml:space="preserve"> and most com</w:t>
            </w:r>
            <w:r w:rsidR="00A64B28">
              <w:rPr>
                <w:noProof w:val="0"/>
                <w:lang w:val="en-US"/>
              </w:rPr>
              <w:t xml:space="preserve">mon term for </w:t>
            </w:r>
            <w:r>
              <w:rPr>
                <w:noProof w:val="0"/>
                <w:lang w:val="en-US"/>
              </w:rPr>
              <w:t>this concept, since it is more used “</w:t>
            </w:r>
            <w:proofErr w:type="spellStart"/>
            <w:r>
              <w:rPr>
                <w:noProof w:val="0"/>
                <w:lang w:val="en-US"/>
              </w:rPr>
              <w:t>fracaso</w:t>
            </w:r>
            <w:proofErr w:type="spellEnd"/>
            <w:r>
              <w:rPr>
                <w:noProof w:val="0"/>
                <w:lang w:val="en-US"/>
              </w:rPr>
              <w:t xml:space="preserve"> de las </w:t>
            </w:r>
            <w:proofErr w:type="spellStart"/>
            <w:r>
              <w:rPr>
                <w:noProof w:val="0"/>
                <w:lang w:val="en-US"/>
              </w:rPr>
              <w:t>políticas</w:t>
            </w:r>
            <w:proofErr w:type="spellEnd"/>
            <w:r>
              <w:rPr>
                <w:noProof w:val="0"/>
                <w:lang w:val="en-US"/>
              </w:rPr>
              <w:t>” than “</w:t>
            </w:r>
            <w:proofErr w:type="spellStart"/>
            <w:r>
              <w:rPr>
                <w:noProof w:val="0"/>
                <w:lang w:val="en-US"/>
              </w:rPr>
              <w:t>fracaso</w:t>
            </w:r>
            <w:proofErr w:type="spellEnd"/>
            <w:r>
              <w:rPr>
                <w:noProof w:val="0"/>
                <w:lang w:val="en-US"/>
              </w:rPr>
              <w:t xml:space="preserve"> politico” in the policy</w:t>
            </w:r>
            <w:r w:rsidR="00A64B28">
              <w:rPr>
                <w:noProof w:val="0"/>
                <w:lang w:val="en-US"/>
              </w:rPr>
              <w:t xml:space="preserve"> field. That is why I choose that translation.</w:t>
            </w:r>
          </w:p>
        </w:tc>
      </w:tr>
      <w:tr w:rsidR="00C32E34" w:rsidRPr="003B2EA1" w14:paraId="0CD05816" w14:textId="77777777" w:rsidTr="009657B8">
        <w:trPr>
          <w:cantSplit/>
          <w:jc w:val="center"/>
        </w:trPr>
        <w:tc>
          <w:tcPr>
            <w:tcW w:w="3024" w:type="dxa"/>
          </w:tcPr>
          <w:p w14:paraId="3482C24B" w14:textId="5440C32F" w:rsidR="00C32E34" w:rsidRPr="002169F4" w:rsidRDefault="003B2EA1" w:rsidP="009657B8">
            <w:pPr>
              <w:pStyle w:val="Table-Body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lastRenderedPageBreak/>
              <w:t xml:space="preserve">absolute </w:t>
            </w:r>
            <w:proofErr w:type="spellStart"/>
            <w:r>
              <w:rPr>
                <w:noProof w:val="0"/>
                <w:lang w:val="en-US"/>
              </w:rPr>
              <w:t>nonachievement</w:t>
            </w:r>
            <w:proofErr w:type="spellEnd"/>
          </w:p>
        </w:tc>
        <w:tc>
          <w:tcPr>
            <w:tcW w:w="3024" w:type="dxa"/>
          </w:tcPr>
          <w:p w14:paraId="17648998" w14:textId="5B05FB2D" w:rsidR="00C32E34" w:rsidRPr="002169F4" w:rsidRDefault="003B2EA1" w:rsidP="009657B8">
            <w:pPr>
              <w:pStyle w:val="Table-Body"/>
              <w:rPr>
                <w:noProof w:val="0"/>
                <w:lang w:val="en-US"/>
              </w:rPr>
            </w:pPr>
            <w:proofErr w:type="spellStart"/>
            <w:r>
              <w:rPr>
                <w:noProof w:val="0"/>
                <w:lang w:val="en-US"/>
              </w:rPr>
              <w:t>escasez</w:t>
            </w:r>
            <w:proofErr w:type="spellEnd"/>
            <w:r>
              <w:rPr>
                <w:noProof w:val="0"/>
                <w:lang w:val="en-US"/>
              </w:rPr>
              <w:t xml:space="preserve"> </w:t>
            </w:r>
            <w:proofErr w:type="spellStart"/>
            <w:r>
              <w:rPr>
                <w:noProof w:val="0"/>
                <w:lang w:val="en-US"/>
              </w:rPr>
              <w:t>absoluta</w:t>
            </w:r>
            <w:proofErr w:type="spellEnd"/>
            <w:r>
              <w:rPr>
                <w:noProof w:val="0"/>
                <w:lang w:val="en-US"/>
              </w:rPr>
              <w:t xml:space="preserve"> de </w:t>
            </w:r>
            <w:proofErr w:type="spellStart"/>
            <w:r>
              <w:rPr>
                <w:noProof w:val="0"/>
                <w:lang w:val="en-US"/>
              </w:rPr>
              <w:t>éxito</w:t>
            </w:r>
            <w:proofErr w:type="spellEnd"/>
          </w:p>
        </w:tc>
        <w:tc>
          <w:tcPr>
            <w:tcW w:w="3024" w:type="dxa"/>
          </w:tcPr>
          <w:p w14:paraId="06FF579A" w14:textId="70CDE113" w:rsidR="00C32E34" w:rsidRPr="002169F4" w:rsidRDefault="003B2EA1" w:rsidP="003B2EA1">
            <w:pPr>
              <w:pStyle w:val="Table-Body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“</w:t>
            </w:r>
            <w:proofErr w:type="spellStart"/>
            <w:r>
              <w:rPr>
                <w:noProof w:val="0"/>
                <w:lang w:val="en-US"/>
              </w:rPr>
              <w:t>Nonachievement</w:t>
            </w:r>
            <w:proofErr w:type="spellEnd"/>
            <w:r>
              <w:rPr>
                <w:noProof w:val="0"/>
                <w:lang w:val="en-US"/>
              </w:rPr>
              <w:t>” is just one word that cannot be translated as just one word in Spanish. Instead, I have used 3 words (</w:t>
            </w:r>
            <w:proofErr w:type="spellStart"/>
            <w:r>
              <w:rPr>
                <w:noProof w:val="0"/>
                <w:lang w:val="en-US"/>
              </w:rPr>
              <w:t>escasez</w:t>
            </w:r>
            <w:proofErr w:type="spellEnd"/>
            <w:r>
              <w:rPr>
                <w:noProof w:val="0"/>
                <w:lang w:val="en-US"/>
              </w:rPr>
              <w:t xml:space="preserve"> de </w:t>
            </w:r>
            <w:proofErr w:type="spellStart"/>
            <w:r>
              <w:rPr>
                <w:noProof w:val="0"/>
                <w:lang w:val="en-US"/>
              </w:rPr>
              <w:t>éxito</w:t>
            </w:r>
            <w:proofErr w:type="spellEnd"/>
            <w:r>
              <w:rPr>
                <w:noProof w:val="0"/>
                <w:lang w:val="en-US"/>
              </w:rPr>
              <w:t>) with the adjective “absolute” (“</w:t>
            </w:r>
            <w:proofErr w:type="spellStart"/>
            <w:r>
              <w:rPr>
                <w:noProof w:val="0"/>
                <w:lang w:val="en-US"/>
              </w:rPr>
              <w:t>absoluta</w:t>
            </w:r>
            <w:proofErr w:type="spellEnd"/>
            <w:r>
              <w:rPr>
                <w:noProof w:val="0"/>
                <w:lang w:val="en-US"/>
              </w:rPr>
              <w:t>”) in the middle (it sounds more fluid like that to me)</w:t>
            </w:r>
          </w:p>
        </w:tc>
      </w:tr>
      <w:tr w:rsidR="00C32E34" w:rsidRPr="003B2EA1" w14:paraId="7EDA03F2" w14:textId="77777777" w:rsidTr="009657B8">
        <w:trPr>
          <w:cantSplit/>
          <w:jc w:val="center"/>
        </w:trPr>
        <w:tc>
          <w:tcPr>
            <w:tcW w:w="3024" w:type="dxa"/>
          </w:tcPr>
          <w:p w14:paraId="2FCFECC1" w14:textId="50C7BD0D" w:rsidR="00C32E34" w:rsidRPr="002169F4" w:rsidRDefault="00847F7C" w:rsidP="009657B8">
            <w:pPr>
              <w:pStyle w:val="Table-Body"/>
              <w:rPr>
                <w:noProof w:val="0"/>
                <w:lang w:val="en-US"/>
              </w:rPr>
            </w:pPr>
            <w:proofErr w:type="spellStart"/>
            <w:r>
              <w:rPr>
                <w:noProof w:val="0"/>
                <w:lang w:val="en-US"/>
              </w:rPr>
              <w:t>overoptimism</w:t>
            </w:r>
            <w:proofErr w:type="spellEnd"/>
          </w:p>
        </w:tc>
        <w:tc>
          <w:tcPr>
            <w:tcW w:w="3024" w:type="dxa"/>
          </w:tcPr>
          <w:p w14:paraId="56BA7AC2" w14:textId="44816A63" w:rsidR="00C32E34" w:rsidRPr="002169F4" w:rsidRDefault="00847F7C" w:rsidP="009657B8">
            <w:pPr>
              <w:pStyle w:val="Table-Body"/>
              <w:rPr>
                <w:noProof w:val="0"/>
                <w:lang w:val="en-US"/>
              </w:rPr>
            </w:pPr>
            <w:proofErr w:type="spellStart"/>
            <w:r>
              <w:rPr>
                <w:noProof w:val="0"/>
                <w:lang w:val="en-US"/>
              </w:rPr>
              <w:t>optimismo</w:t>
            </w:r>
            <w:proofErr w:type="spellEnd"/>
            <w:r>
              <w:rPr>
                <w:noProof w:val="0"/>
                <w:lang w:val="en-US"/>
              </w:rPr>
              <w:t xml:space="preserve"> </w:t>
            </w:r>
            <w:proofErr w:type="spellStart"/>
            <w:r>
              <w:rPr>
                <w:noProof w:val="0"/>
                <w:lang w:val="en-US"/>
              </w:rPr>
              <w:t>excesivo</w:t>
            </w:r>
            <w:proofErr w:type="spellEnd"/>
          </w:p>
        </w:tc>
        <w:tc>
          <w:tcPr>
            <w:tcW w:w="3024" w:type="dxa"/>
          </w:tcPr>
          <w:p w14:paraId="4B044BBA" w14:textId="3FA80F3D" w:rsidR="00C32E34" w:rsidRPr="002169F4" w:rsidRDefault="00847F7C" w:rsidP="00A64B28">
            <w:pPr>
              <w:pStyle w:val="Table-Body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 xml:space="preserve">It is similar than the previous one. Just one word in English (it is common in this language the usage of prefixes to form </w:t>
            </w:r>
            <w:r w:rsidR="00A64B28">
              <w:rPr>
                <w:noProof w:val="0"/>
                <w:lang w:val="en-US"/>
              </w:rPr>
              <w:t xml:space="preserve">any sort of </w:t>
            </w:r>
            <w:r>
              <w:rPr>
                <w:noProof w:val="0"/>
                <w:lang w:val="en-US"/>
              </w:rPr>
              <w:t>words), but more words in Spanish were needed to reach the correct tran</w:t>
            </w:r>
            <w:r w:rsidR="00A64B28">
              <w:rPr>
                <w:noProof w:val="0"/>
                <w:lang w:val="en-US"/>
              </w:rPr>
              <w:t>slation (in Spanish is not that common</w:t>
            </w:r>
            <w:r>
              <w:rPr>
                <w:noProof w:val="0"/>
                <w:lang w:val="en-US"/>
              </w:rPr>
              <w:t xml:space="preserve"> to use prefixes</w:t>
            </w:r>
            <w:r w:rsidR="00A64B28">
              <w:rPr>
                <w:noProof w:val="0"/>
                <w:lang w:val="en-US"/>
              </w:rPr>
              <w:t xml:space="preserve"> in words that do not have them already</w:t>
            </w:r>
            <w:r>
              <w:rPr>
                <w:noProof w:val="0"/>
                <w:lang w:val="en-US"/>
              </w:rPr>
              <w:t>, so I prefer</w:t>
            </w:r>
            <w:r w:rsidR="00A64B28">
              <w:rPr>
                <w:noProof w:val="0"/>
                <w:lang w:val="en-US"/>
              </w:rPr>
              <w:t>red to explain the term with</w:t>
            </w:r>
            <w:r>
              <w:rPr>
                <w:noProof w:val="0"/>
                <w:lang w:val="en-US"/>
              </w:rPr>
              <w:t xml:space="preserve"> two Spanish words).</w:t>
            </w:r>
          </w:p>
        </w:tc>
      </w:tr>
      <w:tr w:rsidR="00847F7C" w:rsidRPr="003B2EA1" w14:paraId="799BEA3E" w14:textId="77777777" w:rsidTr="009657B8">
        <w:trPr>
          <w:cantSplit/>
          <w:jc w:val="center"/>
        </w:trPr>
        <w:tc>
          <w:tcPr>
            <w:tcW w:w="3024" w:type="dxa"/>
          </w:tcPr>
          <w:p w14:paraId="0CD651E7" w14:textId="1A3F5B1A" w:rsidR="00847F7C" w:rsidRPr="002169F4" w:rsidRDefault="00847F7C" w:rsidP="00847F7C">
            <w:pPr>
              <w:pStyle w:val="Table-Body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delivery</w:t>
            </w:r>
          </w:p>
        </w:tc>
        <w:tc>
          <w:tcPr>
            <w:tcW w:w="3024" w:type="dxa"/>
          </w:tcPr>
          <w:p w14:paraId="1510CF7B" w14:textId="0B96B5B6" w:rsidR="00847F7C" w:rsidRPr="002169F4" w:rsidRDefault="00847F7C" w:rsidP="00847F7C">
            <w:pPr>
              <w:pStyle w:val="Table-Body"/>
              <w:rPr>
                <w:noProof w:val="0"/>
                <w:lang w:val="en-US"/>
              </w:rPr>
            </w:pPr>
            <w:proofErr w:type="spellStart"/>
            <w:r>
              <w:rPr>
                <w:noProof w:val="0"/>
                <w:lang w:val="en-US"/>
              </w:rPr>
              <w:t>cumplimiento</w:t>
            </w:r>
            <w:proofErr w:type="spellEnd"/>
          </w:p>
        </w:tc>
        <w:tc>
          <w:tcPr>
            <w:tcW w:w="3024" w:type="dxa"/>
          </w:tcPr>
          <w:p w14:paraId="40F45CE1" w14:textId="0ACFDADF" w:rsidR="00847F7C" w:rsidRPr="002169F4" w:rsidRDefault="00847F7C" w:rsidP="00847F7C">
            <w:pPr>
              <w:pStyle w:val="Table-Body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“Delivery” is a word with different meanin</w:t>
            </w:r>
            <w:r w:rsidR="00A64B28">
              <w:rPr>
                <w:noProof w:val="0"/>
                <w:lang w:val="en-US"/>
              </w:rPr>
              <w:t>gs (depending on the context). B</w:t>
            </w:r>
            <w:r>
              <w:rPr>
                <w:noProof w:val="0"/>
                <w:lang w:val="en-US"/>
              </w:rPr>
              <w:t>ut in this case, it was challenging to find the correct term in the target language (especially in this policy field), and it resulted to be “</w:t>
            </w:r>
            <w:proofErr w:type="spellStart"/>
            <w:r>
              <w:rPr>
                <w:noProof w:val="0"/>
                <w:lang w:val="en-US"/>
              </w:rPr>
              <w:t>cumplimiento</w:t>
            </w:r>
            <w:proofErr w:type="spellEnd"/>
            <w:r>
              <w:rPr>
                <w:noProof w:val="0"/>
                <w:lang w:val="en-US"/>
              </w:rPr>
              <w:t>”.</w:t>
            </w:r>
          </w:p>
        </w:tc>
      </w:tr>
    </w:tbl>
    <w:p w14:paraId="6D7649CD" w14:textId="77777777" w:rsidR="00C32E34" w:rsidRPr="002169F4" w:rsidRDefault="00C32E34" w:rsidP="00C32E34">
      <w:pPr>
        <w:rPr>
          <w:rFonts w:cstheme="minorHAnsi"/>
          <w:b/>
          <w:bCs/>
          <w:color w:val="000000" w:themeColor="text1"/>
          <w:sz w:val="24"/>
          <w:szCs w:val="24"/>
          <w:u w:val="single"/>
          <w:lang w:val="en-US"/>
        </w:rPr>
      </w:pPr>
    </w:p>
    <w:p w14:paraId="6DFA3249" w14:textId="77777777" w:rsidR="00C32E34" w:rsidRPr="002169F4" w:rsidRDefault="00C32E34" w:rsidP="00C32E34">
      <w:pPr>
        <w:rPr>
          <w:rFonts w:cstheme="minorHAnsi"/>
          <w:b/>
          <w:bCs/>
          <w:color w:val="000000" w:themeColor="text1"/>
          <w:u w:val="single"/>
          <w:lang w:val="en-US"/>
        </w:rPr>
      </w:pPr>
      <w:r w:rsidRPr="002169F4">
        <w:rPr>
          <w:rFonts w:cstheme="minorHAnsi"/>
          <w:b/>
          <w:bCs/>
          <w:color w:val="000000" w:themeColor="text1"/>
          <w:u w:val="single"/>
          <w:lang w:val="en-US"/>
        </w:rPr>
        <w:t>SECTION 5. REFERENCES</w:t>
      </w:r>
    </w:p>
    <w:p w14:paraId="3267FB41" w14:textId="77777777" w:rsidR="00C32E34" w:rsidRPr="002169F4" w:rsidRDefault="00C32E34" w:rsidP="00C32E34">
      <w:pPr>
        <w:pStyle w:val="Instruct-Body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In the table below, p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>lease list the reference material you have consulted to carry out this test.</w:t>
      </w:r>
    </w:p>
    <w:p w14:paraId="5A1EB345" w14:textId="77777777" w:rsidR="00C32E34" w:rsidRPr="002169F4" w:rsidRDefault="00C32E34" w:rsidP="00C32E34">
      <w:pPr>
        <w:pStyle w:val="Instruct-Bullet"/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Please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 introduce the </w:t>
      </w:r>
      <w:r w:rsidRPr="00A00C1B">
        <w:rPr>
          <w:rFonts w:asciiTheme="minorHAnsi" w:hAnsiTheme="minorHAnsi" w:cstheme="minorHAnsi"/>
          <w:b/>
          <w:bCs/>
          <w:noProof w:val="0"/>
          <w:sz w:val="20"/>
          <w:lang w:val="en-US"/>
        </w:rPr>
        <w:t>Reference source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(including publisher and full title as appropriate)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 in the first column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. </w:t>
      </w:r>
    </w:p>
    <w:p w14:paraId="66D042EB" w14:textId="77777777" w:rsidR="00C32E34" w:rsidRPr="002169F4" w:rsidRDefault="00C32E34" w:rsidP="00C32E34">
      <w:pPr>
        <w:pStyle w:val="Instruct-Bullet"/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Specify if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 your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reference source is general or specific. If specific, clarify which term or section the reference covers. </w:t>
      </w:r>
    </w:p>
    <w:p w14:paraId="5EA41DF1" w14:textId="77777777" w:rsidR="00C32E34" w:rsidRPr="002169F4" w:rsidRDefault="00C32E34" w:rsidP="00C32E34">
      <w:pPr>
        <w:rPr>
          <w:rFonts w:cstheme="minorHAnsi"/>
          <w:b/>
          <w:bCs/>
          <w:color w:val="000000" w:themeColor="text1"/>
          <w:sz w:val="24"/>
          <w:szCs w:val="24"/>
          <w:u w:val="single"/>
          <w:lang w:val="en-US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25"/>
        <w:gridCol w:w="4547"/>
      </w:tblGrid>
      <w:tr w:rsidR="00C32E34" w:rsidRPr="002169F4" w14:paraId="562BF658" w14:textId="77777777" w:rsidTr="0029735B">
        <w:trPr>
          <w:cantSplit/>
          <w:jc w:val="center"/>
        </w:trPr>
        <w:tc>
          <w:tcPr>
            <w:tcW w:w="4525" w:type="dxa"/>
            <w:shd w:val="clear" w:color="auto" w:fill="B4C6E7" w:themeFill="accent1" w:themeFillTint="66"/>
          </w:tcPr>
          <w:p w14:paraId="591D87F5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t>Reference Source</w:t>
            </w:r>
          </w:p>
        </w:tc>
        <w:tc>
          <w:tcPr>
            <w:tcW w:w="4547" w:type="dxa"/>
            <w:shd w:val="clear" w:color="auto" w:fill="B4C6E7" w:themeFill="accent1" w:themeFillTint="66"/>
          </w:tcPr>
          <w:p w14:paraId="5CF5A0F0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t>General / Specific (Term)</w:t>
            </w:r>
          </w:p>
        </w:tc>
      </w:tr>
      <w:tr w:rsidR="00C32E34" w:rsidRPr="00847F7C" w14:paraId="4045A722" w14:textId="77777777" w:rsidTr="009657B8">
        <w:trPr>
          <w:cantSplit/>
          <w:jc w:val="center"/>
        </w:trPr>
        <w:tc>
          <w:tcPr>
            <w:tcW w:w="4525" w:type="dxa"/>
          </w:tcPr>
          <w:p w14:paraId="6F968208" w14:textId="53196929" w:rsidR="00C32E34" w:rsidRPr="00847F7C" w:rsidRDefault="00847F7C" w:rsidP="009657B8">
            <w:pPr>
              <w:pStyle w:val="Table-Body"/>
              <w:rPr>
                <w:noProof w:val="0"/>
                <w:lang w:val="es-PE"/>
              </w:rPr>
            </w:pPr>
            <w:r>
              <w:rPr>
                <w:noProof w:val="0"/>
                <w:lang w:val="es-PE"/>
              </w:rPr>
              <w:t xml:space="preserve">Salcedo, K. (2018). </w:t>
            </w:r>
            <w:r w:rsidRPr="00847F7C">
              <w:rPr>
                <w:noProof w:val="0"/>
                <w:lang w:val="es-PE"/>
              </w:rPr>
              <w:t>Los retos para la implementaci</w:t>
            </w:r>
            <w:r>
              <w:rPr>
                <w:noProof w:val="0"/>
                <w:lang w:val="es-PE"/>
              </w:rPr>
              <w:t xml:space="preserve">ón de un </w:t>
            </w:r>
            <w:proofErr w:type="spellStart"/>
            <w:r>
              <w:rPr>
                <w:noProof w:val="0"/>
                <w:lang w:val="es-PE"/>
              </w:rPr>
              <w:t>delivery</w:t>
            </w:r>
            <w:proofErr w:type="spellEnd"/>
            <w:r>
              <w:rPr>
                <w:noProof w:val="0"/>
                <w:lang w:val="es-PE"/>
              </w:rPr>
              <w:t xml:space="preserve"> </w:t>
            </w:r>
            <w:proofErr w:type="spellStart"/>
            <w:r>
              <w:rPr>
                <w:noProof w:val="0"/>
                <w:lang w:val="es-PE"/>
              </w:rPr>
              <w:t>unit</w:t>
            </w:r>
            <w:proofErr w:type="spellEnd"/>
            <w:r>
              <w:rPr>
                <w:noProof w:val="0"/>
                <w:lang w:val="es-PE"/>
              </w:rPr>
              <w:t>: el caso peruano” (tesis de maestría).</w:t>
            </w:r>
            <w:r w:rsidR="00A64B28">
              <w:rPr>
                <w:noProof w:val="0"/>
                <w:lang w:val="es-PE"/>
              </w:rPr>
              <w:t xml:space="preserve"> Universidad del Pacífico, Lima, Perú.</w:t>
            </w:r>
          </w:p>
        </w:tc>
        <w:tc>
          <w:tcPr>
            <w:tcW w:w="4547" w:type="dxa"/>
          </w:tcPr>
          <w:p w14:paraId="7C07549B" w14:textId="4B256678" w:rsidR="00C32E34" w:rsidRPr="00847F7C" w:rsidRDefault="00847F7C" w:rsidP="009657B8">
            <w:pPr>
              <w:pStyle w:val="Table-Body"/>
              <w:rPr>
                <w:noProof w:val="0"/>
                <w:lang w:val="en-US"/>
              </w:rPr>
            </w:pPr>
            <w:r w:rsidRPr="00847F7C">
              <w:rPr>
                <w:noProof w:val="0"/>
                <w:lang w:val="en-US"/>
              </w:rPr>
              <w:t xml:space="preserve">It was specific for the translation of the </w:t>
            </w:r>
            <w:r>
              <w:rPr>
                <w:noProof w:val="0"/>
                <w:lang w:val="en-US"/>
              </w:rPr>
              <w:t>term “delivery”.</w:t>
            </w:r>
          </w:p>
        </w:tc>
      </w:tr>
      <w:tr w:rsidR="00C32E34" w:rsidRPr="00A64B28" w14:paraId="279DF6CA" w14:textId="77777777" w:rsidTr="009657B8">
        <w:trPr>
          <w:cantSplit/>
          <w:jc w:val="center"/>
        </w:trPr>
        <w:tc>
          <w:tcPr>
            <w:tcW w:w="4525" w:type="dxa"/>
          </w:tcPr>
          <w:p w14:paraId="4B29A1B0" w14:textId="2CA5BAEC" w:rsidR="00C32E34" w:rsidRPr="00847F7C" w:rsidRDefault="00847F7C" w:rsidP="009657B8">
            <w:pPr>
              <w:pStyle w:val="Table-Body"/>
              <w:rPr>
                <w:noProof w:val="0"/>
                <w:lang w:val="es-PE"/>
              </w:rPr>
            </w:pPr>
            <w:r>
              <w:rPr>
                <w:noProof w:val="0"/>
                <w:lang w:val="es-PE"/>
              </w:rPr>
              <w:t>Soria, R. (2015). ¿Por qué puede fracasar una política pública? El caso del Programa de Subsidio para la Seguridad Pública de los Municipios y Demarcaciones Territoriales del Distrito Federal. Revista de El Colegio de San Luis, San Luis de Potosí, México.</w:t>
            </w:r>
          </w:p>
        </w:tc>
        <w:tc>
          <w:tcPr>
            <w:tcW w:w="4547" w:type="dxa"/>
          </w:tcPr>
          <w:p w14:paraId="172CAAB7" w14:textId="34AE347A" w:rsidR="00C32E34" w:rsidRPr="00A64B28" w:rsidRDefault="00A64B28" w:rsidP="00915FB3">
            <w:pPr>
              <w:pStyle w:val="Table-Body"/>
              <w:rPr>
                <w:noProof w:val="0"/>
                <w:lang w:val="en-US"/>
              </w:rPr>
            </w:pPr>
            <w:r w:rsidRPr="00A64B28">
              <w:rPr>
                <w:noProof w:val="0"/>
                <w:lang w:val="en-US"/>
              </w:rPr>
              <w:t>It was both general and also specific</w:t>
            </w:r>
            <w:r w:rsidR="00915FB3">
              <w:rPr>
                <w:noProof w:val="0"/>
                <w:lang w:val="en-US"/>
              </w:rPr>
              <w:t>,</w:t>
            </w:r>
            <w:r w:rsidRPr="00A64B28">
              <w:rPr>
                <w:noProof w:val="0"/>
                <w:lang w:val="en-US"/>
              </w:rPr>
              <w:t xml:space="preserve"> to find the c</w:t>
            </w:r>
            <w:r>
              <w:rPr>
                <w:noProof w:val="0"/>
                <w:lang w:val="en-US"/>
              </w:rPr>
              <w:t>orrect translation</w:t>
            </w:r>
            <w:r w:rsidR="00915FB3">
              <w:rPr>
                <w:noProof w:val="0"/>
                <w:lang w:val="en-US"/>
              </w:rPr>
              <w:t xml:space="preserve"> and most used terms for </w:t>
            </w:r>
            <w:r>
              <w:rPr>
                <w:noProof w:val="0"/>
                <w:lang w:val="en-US"/>
              </w:rPr>
              <w:t>“policy failure”.</w:t>
            </w:r>
          </w:p>
        </w:tc>
      </w:tr>
      <w:tr w:rsidR="00C32E34" w:rsidRPr="00A64B28" w14:paraId="429825D4" w14:textId="77777777" w:rsidTr="009657B8">
        <w:trPr>
          <w:cantSplit/>
          <w:jc w:val="center"/>
        </w:trPr>
        <w:tc>
          <w:tcPr>
            <w:tcW w:w="4525" w:type="dxa"/>
          </w:tcPr>
          <w:p w14:paraId="721161B8" w14:textId="0DB15CF9" w:rsidR="00C32E34" w:rsidRPr="00A64B28" w:rsidRDefault="00A64B28" w:rsidP="009657B8">
            <w:pPr>
              <w:pStyle w:val="Table-Body"/>
              <w:rPr>
                <w:noProof w:val="0"/>
                <w:lang w:val="es-PE"/>
              </w:rPr>
            </w:pPr>
            <w:proofErr w:type="spellStart"/>
            <w:r w:rsidRPr="00A64B28">
              <w:rPr>
                <w:noProof w:val="0"/>
                <w:lang w:val="es-PE"/>
              </w:rPr>
              <w:lastRenderedPageBreak/>
              <w:t>Peters</w:t>
            </w:r>
            <w:proofErr w:type="spellEnd"/>
            <w:r w:rsidRPr="00A64B28">
              <w:rPr>
                <w:noProof w:val="0"/>
                <w:lang w:val="es-PE"/>
              </w:rPr>
              <w:t>, G. (1995). Modelos alternativos del proceso de la pol</w:t>
            </w:r>
            <w:r>
              <w:rPr>
                <w:noProof w:val="0"/>
                <w:lang w:val="es-PE"/>
              </w:rPr>
              <w:t xml:space="preserve">ítica pública: de abajo hacia arriba o de arriba hacia abajo. Gestión y Política Pública, vol. IV, Universidad de Pittsburgh, </w:t>
            </w:r>
            <w:r>
              <w:rPr>
                <w:noProof w:val="0"/>
                <w:lang w:val="es-PE"/>
              </w:rPr>
              <w:t>Pittsburgh</w:t>
            </w:r>
            <w:r>
              <w:rPr>
                <w:noProof w:val="0"/>
                <w:lang w:val="es-PE"/>
              </w:rPr>
              <w:t>, Estados Unidos.</w:t>
            </w:r>
          </w:p>
        </w:tc>
        <w:tc>
          <w:tcPr>
            <w:tcW w:w="4547" w:type="dxa"/>
          </w:tcPr>
          <w:p w14:paraId="1FDED4D8" w14:textId="603A0889" w:rsidR="00C32E34" w:rsidRPr="00A64B28" w:rsidRDefault="00A64B28" w:rsidP="00A64B28">
            <w:pPr>
              <w:pStyle w:val="Table-Body"/>
              <w:rPr>
                <w:noProof w:val="0"/>
                <w:lang w:val="en-US"/>
              </w:rPr>
            </w:pPr>
            <w:r w:rsidRPr="00A64B28">
              <w:rPr>
                <w:noProof w:val="0"/>
                <w:lang w:val="en-US"/>
              </w:rPr>
              <w:t xml:space="preserve">This one was general but also specific for other </w:t>
            </w:r>
            <w:r>
              <w:rPr>
                <w:noProof w:val="0"/>
                <w:lang w:val="en-US"/>
              </w:rPr>
              <w:t xml:space="preserve">specialized </w:t>
            </w:r>
            <w:r w:rsidR="00915FB3">
              <w:rPr>
                <w:noProof w:val="0"/>
                <w:lang w:val="en-US"/>
              </w:rPr>
              <w:t>terms in the text.</w:t>
            </w:r>
          </w:p>
        </w:tc>
      </w:tr>
    </w:tbl>
    <w:p w14:paraId="61F01B2B" w14:textId="77777777" w:rsidR="00C32E34" w:rsidRPr="00A64B28" w:rsidRDefault="00C32E34" w:rsidP="00C32E34">
      <w:pPr>
        <w:rPr>
          <w:lang w:val="en-US"/>
        </w:rPr>
      </w:pPr>
    </w:p>
    <w:bookmarkEnd w:id="0"/>
    <w:p w14:paraId="24DBB44E" w14:textId="7B2072F8" w:rsidR="00E23080" w:rsidRDefault="00222AEE" w:rsidP="00C32E34">
      <w:proofErr w:type="spellStart"/>
      <w:r>
        <w:t>Thanks</w:t>
      </w:r>
      <w:proofErr w:type="spellEnd"/>
      <w:r>
        <w:t>!</w:t>
      </w:r>
      <w:bookmarkStart w:id="1" w:name="_GoBack"/>
      <w:bookmarkEnd w:id="1"/>
    </w:p>
    <w:sectPr w:rsidR="00E2308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C4A26D" w14:textId="77777777" w:rsidR="00AB5325" w:rsidRDefault="00AB5325">
      <w:pPr>
        <w:spacing w:after="0" w:line="240" w:lineRule="auto"/>
      </w:pPr>
      <w:r>
        <w:separator/>
      </w:r>
    </w:p>
  </w:endnote>
  <w:endnote w:type="continuationSeparator" w:id="0">
    <w:p w14:paraId="39DC8659" w14:textId="77777777" w:rsidR="00AB5325" w:rsidRDefault="00AB5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D19E1" w14:textId="77777777" w:rsidR="00982732" w:rsidRDefault="0098273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A4B511" w14:textId="77777777" w:rsidR="00742B7C" w:rsidRDefault="006B63B5" w:rsidP="00C8481C">
    <w:pPr>
      <w:pStyle w:val="Piedepgina"/>
      <w:jc w:val="center"/>
    </w:pPr>
    <w:r>
      <w:rPr>
        <w:noProof/>
        <w:lang w:val="en-US"/>
      </w:rPr>
      <w:drawing>
        <wp:inline distT="0" distB="0" distL="0" distR="0" wp14:anchorId="4AB84110" wp14:editId="19A4D5FC">
          <wp:extent cx="1660335" cy="933450"/>
          <wp:effectExtent l="0" t="0" r="0" b="0"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tillman_LogoORG_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553" cy="943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9963CB" w14:textId="77777777" w:rsidR="00982732" w:rsidRDefault="0098273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DE56CE" w14:textId="77777777" w:rsidR="00AB5325" w:rsidRDefault="00AB5325">
      <w:pPr>
        <w:spacing w:after="0" w:line="240" w:lineRule="auto"/>
      </w:pPr>
      <w:r>
        <w:separator/>
      </w:r>
    </w:p>
  </w:footnote>
  <w:footnote w:type="continuationSeparator" w:id="0">
    <w:p w14:paraId="546205D5" w14:textId="77777777" w:rsidR="00AB5325" w:rsidRDefault="00AB53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E81CB0" w14:textId="77777777" w:rsidR="00982732" w:rsidRDefault="0098273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87D4C8" w14:textId="7C636906" w:rsidR="00982732" w:rsidRDefault="00982732" w:rsidP="00982732">
    <w:pPr>
      <w:pStyle w:val="Encabezado"/>
      <w:jc w:val="right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23FAB83A" wp14:editId="647A4C0E">
          <wp:simplePos x="0" y="0"/>
          <wp:positionH relativeFrom="column">
            <wp:align>left</wp:align>
          </wp:positionH>
          <wp:positionV relativeFrom="paragraph">
            <wp:posOffset>0</wp:posOffset>
          </wp:positionV>
          <wp:extent cx="597535" cy="599397"/>
          <wp:effectExtent l="0" t="0" r="0" b="0"/>
          <wp:wrapNone/>
          <wp:docPr id="675637278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535" cy="5993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POVE01-R6-0</w:t>
    </w:r>
  </w:p>
  <w:p w14:paraId="0DDA9177" w14:textId="6DF6A44E" w:rsidR="00742B7C" w:rsidRDefault="00AB5325" w:rsidP="00742B7C">
    <w:pPr>
      <w:pStyle w:val="Encabezado"/>
      <w:jc w:val="right"/>
    </w:pPr>
  </w:p>
  <w:p w14:paraId="2A0A3661" w14:textId="64D4EC65" w:rsidR="00982732" w:rsidRDefault="00982732" w:rsidP="00742B7C">
    <w:pPr>
      <w:pStyle w:val="Encabezado"/>
      <w:jc w:val="right"/>
    </w:pPr>
  </w:p>
  <w:p w14:paraId="577DD1A1" w14:textId="77777777" w:rsidR="00982732" w:rsidRDefault="00982732" w:rsidP="00742B7C">
    <w:pPr>
      <w:pStyle w:val="Encabezado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8C8C8" w14:textId="77777777" w:rsidR="00982732" w:rsidRDefault="0098273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88A00CB4"/>
    <w:lvl w:ilvl="0">
      <w:numFmt w:val="decimal"/>
      <w:pStyle w:val="Instruct-Bullet"/>
      <w:lvlText w:val="*"/>
      <w:lvlJc w:val="left"/>
    </w:lvl>
  </w:abstractNum>
  <w:abstractNum w:abstractNumId="1" w15:restartNumberingAfterBreak="0">
    <w:nsid w:val="25416B5D"/>
    <w:multiLevelType w:val="multilevel"/>
    <w:tmpl w:val="B1E89BEA"/>
    <w:name w:val="dtHD0"/>
    <w:lvl w:ilvl="0">
      <w:start w:val="3"/>
      <w:numFmt w:val="decimal"/>
      <w:lvlRestart w:val="0"/>
      <w:pStyle w:val="Ttulo1"/>
      <w:suff w:val="space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/>
        <w:smallCaps w:val="0"/>
        <w:sz w:val="24"/>
        <w:u w:val="none"/>
      </w:rPr>
    </w:lvl>
    <w:lvl w:ilvl="1">
      <w:start w:val="1"/>
      <w:numFmt w:val="decimal"/>
      <w:pStyle w:val="Ttulo2"/>
      <w:suff w:val="space"/>
      <w:lvlText w:val="2.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2">
      <w:start w:val="1"/>
      <w:numFmt w:val="decimal"/>
      <w:pStyle w:val="Ttulo3"/>
      <w:suff w:val="space"/>
      <w:lvlText w:val="2.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3">
      <w:start w:val="1"/>
      <w:numFmt w:val="decimal"/>
      <w:pStyle w:val="Ttulo4"/>
      <w:suff w:val="space"/>
      <w:lvlText w:val="2.%1.%2.%3.%4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4">
      <w:start w:val="1"/>
      <w:numFmt w:val="decimal"/>
      <w:pStyle w:val="Ttulo5"/>
      <w:suff w:val="space"/>
      <w:lvlText w:val="2.%1.%2.%3.%4.%5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5">
      <w:start w:val="1"/>
      <w:numFmt w:val="decimal"/>
      <w:pStyle w:val="Ttulo6"/>
      <w:suff w:val="space"/>
      <w:lvlText w:val="2.%1.%2.%3.%4.%5.%6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6">
      <w:start w:val="1"/>
      <w:numFmt w:val="decimal"/>
      <w:pStyle w:val="Ttulo7"/>
      <w:suff w:val="space"/>
      <w:lvlText w:val="2.%1.%2.%3.%4.%5.%6.%7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7">
      <w:start w:val="1"/>
      <w:numFmt w:val="decimal"/>
      <w:pStyle w:val="Ttulo8"/>
      <w:suff w:val="space"/>
      <w:lvlText w:val="2.%1.%2.%3.%4.%5.%6.%7.%8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8">
      <w:start w:val="1"/>
      <w:numFmt w:val="decimal"/>
      <w:pStyle w:val="Ttulo9"/>
      <w:suff w:val="space"/>
      <w:lvlText w:val="2.%1.%2.%3.%4.%5.%6.%7.%8.%9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</w:abstractNum>
  <w:abstractNum w:abstractNumId="2" w15:restartNumberingAfterBreak="0">
    <w:nsid w:val="5AA9547F"/>
    <w:multiLevelType w:val="multilevel"/>
    <w:tmpl w:val="58203CD8"/>
    <w:name w:val="dtMLAppendix0"/>
    <w:lvl w:ilvl="0">
      <w:start w:val="3"/>
      <w:numFmt w:val="decimal"/>
      <w:lvlRestart w:val="0"/>
      <w:pStyle w:val="Appendix1"/>
      <w:suff w:val="space"/>
      <w:lvlText w:val="Appendix 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1">
      <w:start w:val="1"/>
      <w:numFmt w:val="decimal"/>
      <w:pStyle w:val="Appendix2"/>
      <w:suff w:val="space"/>
      <w:lvlText w:val="Appendix 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2">
      <w:start w:val="1"/>
      <w:numFmt w:val="decimal"/>
      <w:pStyle w:val="Appendix3"/>
      <w:suff w:val="space"/>
      <w:lvlText w:val="Appendix 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pStyle w:val="Instruct-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7C8"/>
    <w:rsid w:val="00010F48"/>
    <w:rsid w:val="001D5956"/>
    <w:rsid w:val="00222AEE"/>
    <w:rsid w:val="0029735B"/>
    <w:rsid w:val="002B46B3"/>
    <w:rsid w:val="003B2EA1"/>
    <w:rsid w:val="00472318"/>
    <w:rsid w:val="00502332"/>
    <w:rsid w:val="005725F5"/>
    <w:rsid w:val="00670AB9"/>
    <w:rsid w:val="006B63B5"/>
    <w:rsid w:val="00717925"/>
    <w:rsid w:val="00814892"/>
    <w:rsid w:val="00817C43"/>
    <w:rsid w:val="0083356E"/>
    <w:rsid w:val="00847F7C"/>
    <w:rsid w:val="00915FB3"/>
    <w:rsid w:val="00947BA5"/>
    <w:rsid w:val="00970A9B"/>
    <w:rsid w:val="00982732"/>
    <w:rsid w:val="00992EE4"/>
    <w:rsid w:val="00A32EA5"/>
    <w:rsid w:val="00A6385E"/>
    <w:rsid w:val="00A64B28"/>
    <w:rsid w:val="00A64FA3"/>
    <w:rsid w:val="00A9682A"/>
    <w:rsid w:val="00AB5325"/>
    <w:rsid w:val="00B92973"/>
    <w:rsid w:val="00BA1735"/>
    <w:rsid w:val="00BA77C8"/>
    <w:rsid w:val="00C32E34"/>
    <w:rsid w:val="00C43D38"/>
    <w:rsid w:val="00CE7801"/>
    <w:rsid w:val="00E23080"/>
    <w:rsid w:val="00EB2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131DDB"/>
  <w15:chartTrackingRefBased/>
  <w15:docId w15:val="{5B469D14-12CC-4A80-A402-E375ED568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77C8"/>
  </w:style>
  <w:style w:type="paragraph" w:styleId="Ttulo1">
    <w:name w:val="heading 1"/>
    <w:next w:val="Paragraph"/>
    <w:link w:val="Ttulo1Car"/>
    <w:qFormat/>
    <w:rsid w:val="00BA77C8"/>
    <w:pPr>
      <w:keepNext/>
      <w:numPr>
        <w:numId w:val="3"/>
      </w:numPr>
      <w:tabs>
        <w:tab w:val="clear" w:pos="0"/>
      </w:tabs>
      <w:spacing w:before="120" w:after="120" w:line="240" w:lineRule="auto"/>
      <w:outlineLvl w:val="0"/>
    </w:pPr>
    <w:rPr>
      <w:rFonts w:ascii="Times New Roman" w:eastAsia="SimSun" w:hAnsi="Times New Roman" w:cs="Arial"/>
      <w:b/>
      <w:bCs/>
      <w:caps/>
      <w:sz w:val="24"/>
      <w:szCs w:val="28"/>
      <w:lang w:val="en-US"/>
    </w:rPr>
  </w:style>
  <w:style w:type="paragraph" w:styleId="Ttulo2">
    <w:name w:val="heading 2"/>
    <w:next w:val="Paragraph"/>
    <w:link w:val="Ttulo2Car"/>
    <w:qFormat/>
    <w:rsid w:val="00BA77C8"/>
    <w:pPr>
      <w:keepNext/>
      <w:numPr>
        <w:ilvl w:val="1"/>
        <w:numId w:val="3"/>
      </w:numPr>
      <w:tabs>
        <w:tab w:val="clear" w:pos="0"/>
      </w:tabs>
      <w:spacing w:before="120" w:after="120" w:line="240" w:lineRule="auto"/>
      <w:outlineLvl w:val="1"/>
    </w:pPr>
    <w:rPr>
      <w:rFonts w:ascii="Times New Roman" w:eastAsia="SimSun" w:hAnsi="Times New Roman" w:cs="Arial"/>
      <w:b/>
      <w:bCs/>
      <w:sz w:val="24"/>
      <w:szCs w:val="26"/>
      <w:lang w:val="en-US"/>
    </w:rPr>
  </w:style>
  <w:style w:type="paragraph" w:styleId="Ttulo3">
    <w:name w:val="heading 3"/>
    <w:next w:val="Paragraph"/>
    <w:link w:val="Ttulo3Car"/>
    <w:qFormat/>
    <w:rsid w:val="00BA77C8"/>
    <w:pPr>
      <w:keepNext/>
      <w:numPr>
        <w:ilvl w:val="2"/>
        <w:numId w:val="3"/>
      </w:numPr>
      <w:tabs>
        <w:tab w:val="clear" w:pos="0"/>
      </w:tabs>
      <w:spacing w:before="120" w:after="120" w:line="240" w:lineRule="auto"/>
      <w:outlineLvl w:val="2"/>
    </w:pPr>
    <w:rPr>
      <w:rFonts w:ascii="Times New Roman" w:eastAsia="SimSun" w:hAnsi="Times New Roman" w:cs="Arial"/>
      <w:b/>
      <w:sz w:val="24"/>
      <w:szCs w:val="26"/>
      <w:lang w:val="en-US"/>
    </w:rPr>
  </w:style>
  <w:style w:type="paragraph" w:styleId="Ttulo4">
    <w:name w:val="heading 4"/>
    <w:next w:val="Paragraph"/>
    <w:link w:val="Ttulo4Car"/>
    <w:qFormat/>
    <w:rsid w:val="00BA77C8"/>
    <w:pPr>
      <w:keepNext/>
      <w:numPr>
        <w:ilvl w:val="3"/>
        <w:numId w:val="3"/>
      </w:numPr>
      <w:tabs>
        <w:tab w:val="clear" w:pos="0"/>
      </w:tabs>
      <w:spacing w:before="120" w:after="120" w:line="240" w:lineRule="auto"/>
      <w:outlineLvl w:val="3"/>
    </w:pPr>
    <w:rPr>
      <w:rFonts w:ascii="Times New Roman" w:eastAsia="SimSun" w:hAnsi="Times New Roman" w:cs="Arial"/>
      <w:b/>
      <w:bCs/>
      <w:sz w:val="24"/>
      <w:szCs w:val="24"/>
      <w:lang w:val="en-US"/>
    </w:rPr>
  </w:style>
  <w:style w:type="paragraph" w:styleId="Ttulo5">
    <w:name w:val="heading 5"/>
    <w:next w:val="Paragraph"/>
    <w:link w:val="Ttulo5Car"/>
    <w:qFormat/>
    <w:rsid w:val="00BA77C8"/>
    <w:pPr>
      <w:keepNext/>
      <w:numPr>
        <w:ilvl w:val="4"/>
        <w:numId w:val="3"/>
      </w:numPr>
      <w:tabs>
        <w:tab w:val="clear" w:pos="0"/>
      </w:tabs>
      <w:spacing w:before="120" w:after="120" w:line="240" w:lineRule="auto"/>
      <w:outlineLvl w:val="4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6">
    <w:name w:val="heading 6"/>
    <w:next w:val="Paragraph"/>
    <w:link w:val="Ttulo6Car"/>
    <w:qFormat/>
    <w:rsid w:val="00BA77C8"/>
    <w:pPr>
      <w:keepNext/>
      <w:numPr>
        <w:ilvl w:val="5"/>
        <w:numId w:val="3"/>
      </w:numPr>
      <w:tabs>
        <w:tab w:val="clear" w:pos="0"/>
      </w:tabs>
      <w:spacing w:before="120" w:after="120" w:line="240" w:lineRule="auto"/>
      <w:outlineLvl w:val="5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7">
    <w:name w:val="heading 7"/>
    <w:next w:val="Paragraph"/>
    <w:link w:val="Ttulo7Car"/>
    <w:qFormat/>
    <w:rsid w:val="00BA77C8"/>
    <w:pPr>
      <w:keepNext/>
      <w:numPr>
        <w:ilvl w:val="6"/>
        <w:numId w:val="3"/>
      </w:numPr>
      <w:tabs>
        <w:tab w:val="clear" w:pos="0"/>
      </w:tabs>
      <w:spacing w:before="120" w:after="120" w:line="240" w:lineRule="auto"/>
      <w:outlineLvl w:val="6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8">
    <w:name w:val="heading 8"/>
    <w:next w:val="Paragraph"/>
    <w:link w:val="Ttulo8Car"/>
    <w:qFormat/>
    <w:rsid w:val="00BA77C8"/>
    <w:pPr>
      <w:keepNext/>
      <w:numPr>
        <w:ilvl w:val="7"/>
        <w:numId w:val="3"/>
      </w:numPr>
      <w:tabs>
        <w:tab w:val="clear" w:pos="0"/>
      </w:tabs>
      <w:spacing w:before="120" w:after="120" w:line="240" w:lineRule="auto"/>
      <w:outlineLvl w:val="7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9">
    <w:name w:val="heading 9"/>
    <w:next w:val="Paragraph"/>
    <w:link w:val="Ttulo9Car"/>
    <w:qFormat/>
    <w:rsid w:val="00BA77C8"/>
    <w:pPr>
      <w:keepNext/>
      <w:numPr>
        <w:ilvl w:val="8"/>
        <w:numId w:val="3"/>
      </w:numPr>
      <w:tabs>
        <w:tab w:val="clear" w:pos="0"/>
      </w:tabs>
      <w:spacing w:before="120" w:after="120" w:line="240" w:lineRule="auto"/>
      <w:outlineLvl w:val="8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Instruct-Bullet">
    <w:name w:val="Instruct-Bullet"/>
    <w:rsid w:val="00BA77C8"/>
    <w:pPr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60" w:line="240" w:lineRule="auto"/>
    </w:pPr>
    <w:rPr>
      <w:rFonts w:ascii="Arial" w:eastAsia="Times New Roman" w:hAnsi="Arial" w:cs="Times New Roman"/>
      <w:i/>
      <w:noProof/>
      <w:sz w:val="16"/>
      <w:szCs w:val="20"/>
      <w:lang w:val="en-GB"/>
    </w:rPr>
  </w:style>
  <w:style w:type="character" w:styleId="Textodelmarcadordeposicin">
    <w:name w:val="Placeholder Text"/>
    <w:basedOn w:val="Fuentedeprrafopredeter"/>
    <w:uiPriority w:val="99"/>
    <w:semiHidden/>
    <w:rsid w:val="00BA77C8"/>
    <w:rPr>
      <w:color w:val="808080"/>
    </w:rPr>
  </w:style>
  <w:style w:type="paragraph" w:customStyle="1" w:styleId="Instruct-Body">
    <w:name w:val="Instruct-Body"/>
    <w:rsid w:val="00BA77C8"/>
    <w:pPr>
      <w:numPr>
        <w:ilvl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60" w:line="240" w:lineRule="auto"/>
    </w:pPr>
    <w:rPr>
      <w:rFonts w:ascii="Arial" w:eastAsia="Times New Roman" w:hAnsi="Arial" w:cs="Times New Roman"/>
      <w:i/>
      <w:noProof/>
      <w:sz w:val="16"/>
      <w:szCs w:val="20"/>
      <w:lang w:val="en-GB"/>
    </w:rPr>
  </w:style>
  <w:style w:type="paragraph" w:customStyle="1" w:styleId="Table-Body">
    <w:name w:val="Table-Body"/>
    <w:rsid w:val="00BA77C8"/>
    <w:pPr>
      <w:numPr>
        <w:ilvl w:val="12"/>
      </w:numPr>
      <w:spacing w:after="0" w:line="240" w:lineRule="auto"/>
    </w:pPr>
    <w:rPr>
      <w:rFonts w:ascii="Arial" w:eastAsia="Times New Roman" w:hAnsi="Arial" w:cs="Times New Roman"/>
      <w:i/>
      <w:noProof/>
      <w:sz w:val="20"/>
      <w:szCs w:val="20"/>
      <w:lang w:val="en-GB"/>
    </w:rPr>
  </w:style>
  <w:style w:type="paragraph" w:customStyle="1" w:styleId="Table-Heading">
    <w:name w:val="Table-Heading"/>
    <w:basedOn w:val="Normal"/>
    <w:rsid w:val="00BA77C8"/>
    <w:pPr>
      <w:numPr>
        <w:ilvl w:val="12"/>
      </w:numPr>
      <w:spacing w:before="60" w:after="60" w:line="240" w:lineRule="auto"/>
    </w:pPr>
    <w:rPr>
      <w:rFonts w:ascii="Arial" w:eastAsia="Times New Roman" w:hAnsi="Arial" w:cs="Times New Roman"/>
      <w:b/>
      <w:noProof/>
      <w:sz w:val="20"/>
      <w:szCs w:val="20"/>
      <w:lang w:val="en-GB"/>
    </w:rPr>
  </w:style>
  <w:style w:type="paragraph" w:styleId="Encabezado">
    <w:name w:val="header"/>
    <w:basedOn w:val="Normal"/>
    <w:link w:val="EncabezadoCar"/>
    <w:uiPriority w:val="99"/>
    <w:unhideWhenUsed/>
    <w:rsid w:val="00BA77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A77C8"/>
  </w:style>
  <w:style w:type="paragraph" w:styleId="Piedepgina">
    <w:name w:val="footer"/>
    <w:basedOn w:val="Normal"/>
    <w:link w:val="PiedepginaCar"/>
    <w:uiPriority w:val="99"/>
    <w:unhideWhenUsed/>
    <w:rsid w:val="00BA77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A77C8"/>
  </w:style>
  <w:style w:type="character" w:customStyle="1" w:styleId="Ttulo1Car">
    <w:name w:val="Título 1 Car"/>
    <w:basedOn w:val="Fuentedeprrafopredeter"/>
    <w:link w:val="Ttulo1"/>
    <w:rsid w:val="00BA77C8"/>
    <w:rPr>
      <w:rFonts w:ascii="Times New Roman" w:eastAsia="SimSun" w:hAnsi="Times New Roman" w:cs="Arial"/>
      <w:b/>
      <w:bCs/>
      <w:caps/>
      <w:sz w:val="24"/>
      <w:szCs w:val="28"/>
      <w:lang w:val="en-US"/>
    </w:rPr>
  </w:style>
  <w:style w:type="character" w:customStyle="1" w:styleId="Ttulo2Car">
    <w:name w:val="Título 2 Car"/>
    <w:basedOn w:val="Fuentedeprrafopredeter"/>
    <w:link w:val="Ttulo2"/>
    <w:rsid w:val="00BA77C8"/>
    <w:rPr>
      <w:rFonts w:ascii="Times New Roman" w:eastAsia="SimSun" w:hAnsi="Times New Roman" w:cs="Arial"/>
      <w:b/>
      <w:bCs/>
      <w:sz w:val="24"/>
      <w:szCs w:val="26"/>
      <w:lang w:val="en-US"/>
    </w:rPr>
  </w:style>
  <w:style w:type="character" w:customStyle="1" w:styleId="Ttulo3Car">
    <w:name w:val="Título 3 Car"/>
    <w:basedOn w:val="Fuentedeprrafopredeter"/>
    <w:link w:val="Ttulo3"/>
    <w:rsid w:val="00BA77C8"/>
    <w:rPr>
      <w:rFonts w:ascii="Times New Roman" w:eastAsia="SimSun" w:hAnsi="Times New Roman" w:cs="Arial"/>
      <w:b/>
      <w:sz w:val="24"/>
      <w:szCs w:val="26"/>
      <w:lang w:val="en-US"/>
    </w:rPr>
  </w:style>
  <w:style w:type="character" w:customStyle="1" w:styleId="Ttulo4Car">
    <w:name w:val="Título 4 Car"/>
    <w:basedOn w:val="Fuentedeprrafopredeter"/>
    <w:link w:val="Ttulo4"/>
    <w:rsid w:val="00BA77C8"/>
    <w:rPr>
      <w:rFonts w:ascii="Times New Roman" w:eastAsia="SimSun" w:hAnsi="Times New Roman" w:cs="Arial"/>
      <w:b/>
      <w:bCs/>
      <w:sz w:val="24"/>
      <w:szCs w:val="24"/>
      <w:lang w:val="en-US"/>
    </w:rPr>
  </w:style>
  <w:style w:type="character" w:customStyle="1" w:styleId="Ttulo5Car">
    <w:name w:val="Título 5 Car"/>
    <w:basedOn w:val="Fuentedeprrafopredeter"/>
    <w:link w:val="Ttulo5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6Car">
    <w:name w:val="Título 6 Car"/>
    <w:basedOn w:val="Fuentedeprrafopredeter"/>
    <w:link w:val="Ttulo6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7Car">
    <w:name w:val="Título 7 Car"/>
    <w:basedOn w:val="Fuentedeprrafopredeter"/>
    <w:link w:val="Ttulo7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8Car">
    <w:name w:val="Título 8 Car"/>
    <w:basedOn w:val="Fuentedeprrafopredeter"/>
    <w:link w:val="Ttulo8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9Car">
    <w:name w:val="Título 9 Car"/>
    <w:basedOn w:val="Fuentedeprrafopredeter"/>
    <w:link w:val="Ttulo9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customStyle="1" w:styleId="Paragraph">
    <w:name w:val="Paragraph"/>
    <w:link w:val="ParagraphChar"/>
    <w:rsid w:val="00BA77C8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ParagraphChar">
    <w:name w:val="Paragraph Char"/>
    <w:link w:val="Paragraph"/>
    <w:rsid w:val="00BA77C8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ppendix1">
    <w:name w:val="Appendix 1"/>
    <w:next w:val="Paragraph"/>
    <w:rsid w:val="00BA77C8"/>
    <w:pPr>
      <w:keepNext/>
      <w:numPr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Times New Roman"/>
      <w:b/>
      <w:sz w:val="24"/>
      <w:szCs w:val="24"/>
      <w:lang w:val="en-US"/>
    </w:rPr>
  </w:style>
  <w:style w:type="paragraph" w:customStyle="1" w:styleId="Appendix2">
    <w:name w:val="Appendix 2"/>
    <w:next w:val="Paragraph"/>
    <w:rsid w:val="00BA77C8"/>
    <w:pPr>
      <w:keepNext/>
      <w:numPr>
        <w:ilvl w:val="1"/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Arial"/>
      <w:b/>
      <w:sz w:val="24"/>
      <w:szCs w:val="24"/>
      <w:lang w:val="en-US"/>
    </w:rPr>
  </w:style>
  <w:style w:type="paragraph" w:customStyle="1" w:styleId="Appendix3">
    <w:name w:val="Appendix 3"/>
    <w:next w:val="Paragraph"/>
    <w:rsid w:val="00BA77C8"/>
    <w:pPr>
      <w:keepNext/>
      <w:numPr>
        <w:ilvl w:val="2"/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Arial"/>
      <w:b/>
      <w:bCs/>
      <w:sz w:val="24"/>
      <w:szCs w:val="24"/>
      <w:lang w:val="en-US"/>
    </w:rPr>
  </w:style>
  <w:style w:type="table" w:styleId="Tablaconcuadrcula">
    <w:name w:val="Table Grid"/>
    <w:basedOn w:val="Tablanormal"/>
    <w:uiPriority w:val="39"/>
    <w:rsid w:val="00C32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A32E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B8667CB8EA3E642920CCDCEEF412A89" ma:contentTypeVersion="12" ma:contentTypeDescription="Crear nuevo documento." ma:contentTypeScope="" ma:versionID="b8cafcfa6f4bf7eb991825c893dc425f">
  <xsd:schema xmlns:xsd="http://www.w3.org/2001/XMLSchema" xmlns:xs="http://www.w3.org/2001/XMLSchema" xmlns:p="http://schemas.microsoft.com/office/2006/metadata/properties" xmlns:ns2="7c46b75b-0270-4f7c-869f-3c0023400dc8" xmlns:ns3="9910c2c5-d703-4f0a-a92f-5c93c21fe5c2" targetNamespace="http://schemas.microsoft.com/office/2006/metadata/properties" ma:root="true" ma:fieldsID="d8c4015db085ef8d4f830ee691fa4b3b" ns2:_="" ns3:_="">
    <xsd:import namespace="7c46b75b-0270-4f7c-869f-3c0023400dc8"/>
    <xsd:import namespace="9910c2c5-d703-4f0a-a92f-5c93c21fe5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46b75b-0270-4f7c-869f-3c0023400d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10c2c5-d703-4f0a-a92f-5c93c21fe5c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5F0F61-9C0C-4B4A-91C2-913158A912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608C93-F7D5-48E5-95C9-9F56E36188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46b75b-0270-4f7c-869f-3c0023400dc8"/>
    <ds:schemaRef ds:uri="9910c2c5-d703-4f0a-a92f-5c93c21fe5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529DAF-E344-4D1B-9C28-F5C2332795F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1282</Words>
  <Characters>7310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</dc:creator>
  <cp:keywords/>
  <dc:description/>
  <cp:lastModifiedBy>Paola Anticona</cp:lastModifiedBy>
  <cp:revision>2</cp:revision>
  <dcterms:created xsi:type="dcterms:W3CDTF">2021-01-10T23:30:00Z</dcterms:created>
  <dcterms:modified xsi:type="dcterms:W3CDTF">2021-01-10T23:30:00Z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0x010100CB8667CB8EA3E642920CCDCEEF412A89</vt:lpwstr>
  </property>
</Properties>
</file>