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4DCCC790" w:rsidR="00C32E34" w:rsidRPr="00824C3A" w:rsidRDefault="00AD0760" w:rsidP="009657B8">
            <w:pPr>
              <w:rPr>
                <w:rFonts w:cstheme="minorHAnsi"/>
                <w:color w:val="000000" w:themeColor="text1"/>
                <w:lang w:val="en-US"/>
              </w:rPr>
            </w:pPr>
            <w:r w:rsidRPr="00824C3A">
              <w:rPr>
                <w:rFonts w:ascii="Times New Roman" w:hAnsi="Times New Roman"/>
                <w:lang w:val="en-US"/>
              </w:rPr>
              <w:t>N</w:t>
            </w:r>
            <w:r w:rsidR="003B238C" w:rsidRPr="00824C3A">
              <w:rPr>
                <w:rFonts w:ascii="Times New Roman" w:hAnsi="Times New Roman"/>
                <w:lang w:val="en-US"/>
              </w:rPr>
              <w:t>eurobehavioral disorders</w:t>
            </w:r>
          </w:p>
        </w:tc>
        <w:tc>
          <w:tcPr>
            <w:tcW w:w="4449" w:type="dxa"/>
          </w:tcPr>
          <w:p w14:paraId="0BC73C5D" w14:textId="16BE7EDE" w:rsidR="00C32E34" w:rsidRPr="009D1F3B" w:rsidRDefault="00AD0760" w:rsidP="009657B8">
            <w:pPr>
              <w:rPr>
                <w:rFonts w:cstheme="minorHAnsi"/>
                <w:color w:val="000000" w:themeColor="text1"/>
                <w:lang w:val="en-US"/>
              </w:rPr>
            </w:pPr>
            <w:r>
              <w:rPr>
                <w:rFonts w:ascii="Times New Roman" w:hAnsi="Times New Roman"/>
              </w:rPr>
              <w:t>Trastornos neuroconductuales</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2182C301" w:rsidR="00C32E34" w:rsidRPr="00824C3A" w:rsidRDefault="00AD0760" w:rsidP="009657B8">
            <w:pPr>
              <w:rPr>
                <w:rFonts w:cstheme="minorHAnsi"/>
                <w:color w:val="000000" w:themeColor="text1"/>
                <w:lang w:val="en-US"/>
              </w:rPr>
            </w:pPr>
            <w:r w:rsidRPr="00824C3A">
              <w:rPr>
                <w:rFonts w:ascii="Times New Roman" w:hAnsi="Times New Roman"/>
                <w:lang w:val="en-US"/>
              </w:rPr>
              <w:t>Attention Deficit Hyperactivity Disorder</w:t>
            </w:r>
            <w:r w:rsidR="00A02B8F">
              <w:rPr>
                <w:rFonts w:ascii="Times New Roman" w:hAnsi="Times New Roman"/>
                <w:lang w:val="en-US"/>
              </w:rPr>
              <w:t xml:space="preserve"> (ADHD)</w:t>
            </w:r>
          </w:p>
        </w:tc>
        <w:tc>
          <w:tcPr>
            <w:tcW w:w="4449" w:type="dxa"/>
          </w:tcPr>
          <w:p w14:paraId="1479DEB3" w14:textId="42781698" w:rsidR="00C32E34" w:rsidRPr="000C67EA" w:rsidRDefault="00AD0760" w:rsidP="009657B8">
            <w:pPr>
              <w:rPr>
                <w:rFonts w:cstheme="minorHAnsi"/>
                <w:color w:val="000000" w:themeColor="text1"/>
              </w:rPr>
            </w:pPr>
            <w:r>
              <w:rPr>
                <w:rFonts w:ascii="Times New Roman" w:hAnsi="Times New Roman"/>
              </w:rPr>
              <w:t>T</w:t>
            </w:r>
            <w:r w:rsidRPr="00AD0760">
              <w:rPr>
                <w:rFonts w:ascii="Times New Roman" w:hAnsi="Times New Roman"/>
              </w:rPr>
              <w:t>rastorno por déficit de atención e hiperactividad</w:t>
            </w:r>
            <w:r w:rsidR="00A02B8F">
              <w:rPr>
                <w:rFonts w:ascii="Times New Roman" w:hAnsi="Times New Roman"/>
              </w:rPr>
              <w:t xml:space="preserve"> (TDAH)</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36263870" w:rsidR="00C32E34" w:rsidRPr="00824C3A" w:rsidRDefault="00591319" w:rsidP="009657B8">
            <w:pPr>
              <w:rPr>
                <w:rFonts w:cstheme="minorHAnsi"/>
                <w:color w:val="000000" w:themeColor="text1"/>
                <w:lang w:val="en-US"/>
              </w:rPr>
            </w:pPr>
            <w:r w:rsidRPr="00824C3A">
              <w:rPr>
                <w:rFonts w:ascii="Times New Roman" w:hAnsi="Times New Roman"/>
                <w:lang w:val="en-US"/>
              </w:rPr>
              <w:t>Comorbid disorders</w:t>
            </w:r>
          </w:p>
        </w:tc>
        <w:tc>
          <w:tcPr>
            <w:tcW w:w="4449" w:type="dxa"/>
          </w:tcPr>
          <w:p w14:paraId="39141B9D" w14:textId="16A8869D" w:rsidR="00C32E34" w:rsidRDefault="00591319" w:rsidP="009657B8">
            <w:pPr>
              <w:rPr>
                <w:rFonts w:cstheme="minorHAnsi"/>
                <w:color w:val="000000" w:themeColor="text1"/>
                <w:lang w:val="en-US"/>
              </w:rPr>
            </w:pPr>
            <w:r>
              <w:rPr>
                <w:rFonts w:ascii="Times New Roman" w:hAnsi="Times New Roman"/>
              </w:rPr>
              <w:t>Trastornos concomitantes</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3E348F47" w:rsidR="00C32E34" w:rsidRDefault="00A02B8F" w:rsidP="009657B8">
            <w:pPr>
              <w:rPr>
                <w:rFonts w:cstheme="minorHAnsi"/>
                <w:color w:val="000000" w:themeColor="text1"/>
                <w:lang w:val="en-US"/>
              </w:rPr>
            </w:pPr>
            <w:proofErr w:type="spellStart"/>
            <w:r>
              <w:rPr>
                <w:rFonts w:ascii="Times New Roman" w:hAnsi="Times New Roman"/>
              </w:rPr>
              <w:t>P</w:t>
            </w:r>
            <w:r w:rsidRPr="00EC2DB9">
              <w:rPr>
                <w:rFonts w:ascii="Times New Roman" w:hAnsi="Times New Roman"/>
              </w:rPr>
              <w:t>sychopharmacological</w:t>
            </w:r>
            <w:proofErr w:type="spellEnd"/>
            <w:r w:rsidRPr="00EC2DB9">
              <w:rPr>
                <w:rFonts w:ascii="Times New Roman" w:hAnsi="Times New Roman"/>
              </w:rPr>
              <w:t xml:space="preserve"> </w:t>
            </w:r>
            <w:proofErr w:type="spellStart"/>
            <w:r w:rsidRPr="00EC2DB9">
              <w:rPr>
                <w:rFonts w:ascii="Times New Roman" w:hAnsi="Times New Roman"/>
              </w:rPr>
              <w:t>treatments</w:t>
            </w:r>
            <w:proofErr w:type="spellEnd"/>
          </w:p>
        </w:tc>
        <w:tc>
          <w:tcPr>
            <w:tcW w:w="4449" w:type="dxa"/>
          </w:tcPr>
          <w:p w14:paraId="09A4F8BB" w14:textId="04E03626" w:rsidR="00C32E34" w:rsidRDefault="00A02B8F" w:rsidP="009657B8">
            <w:pPr>
              <w:rPr>
                <w:rFonts w:cstheme="minorHAnsi"/>
                <w:color w:val="000000" w:themeColor="text1"/>
                <w:lang w:val="en-US"/>
              </w:rPr>
            </w:pPr>
            <w:r>
              <w:rPr>
                <w:rFonts w:ascii="Times New Roman" w:hAnsi="Times New Roman"/>
              </w:rPr>
              <w:t>Tratamientos psicofarmacológicos</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4201"/>
        <w:gridCol w:w="4529"/>
      </w:tblGrid>
      <w:tr w:rsidR="00472318" w:rsidRPr="00B832E6" w14:paraId="450D9B13" w14:textId="77777777" w:rsidTr="00063262">
        <w:tc>
          <w:tcPr>
            <w:tcW w:w="4201"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529"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063262">
        <w:tc>
          <w:tcPr>
            <w:tcW w:w="4201" w:type="dxa"/>
          </w:tcPr>
          <w:p w14:paraId="2C66BD77" w14:textId="77777777" w:rsidR="00E06249" w:rsidRPr="00E06249" w:rsidRDefault="00E06249" w:rsidP="00E06249">
            <w:pPr>
              <w:spacing w:after="200" w:line="276" w:lineRule="auto"/>
              <w:ind w:firstLine="288"/>
              <w:jc w:val="center"/>
              <w:rPr>
                <w:rFonts w:ascii="Times New Roman" w:hAnsi="Times New Roman"/>
                <w:b/>
                <w:bCs/>
                <w:sz w:val="32"/>
                <w:szCs w:val="28"/>
                <w:lang w:val="en-US"/>
              </w:rPr>
            </w:pPr>
            <w:r w:rsidRPr="00E06249">
              <w:rPr>
                <w:rFonts w:ascii="Times New Roman" w:hAnsi="Times New Roman"/>
                <w:b/>
                <w:bCs/>
                <w:sz w:val="32"/>
                <w:szCs w:val="28"/>
                <w:lang w:val="en-US"/>
              </w:rPr>
              <w:t>Pharmacological Treatment of Attention Deficit Hyperactivity Disorder in Children and Adolescents: Clinical Strategies</w:t>
            </w:r>
          </w:p>
          <w:p w14:paraId="7C7F42C9" w14:textId="77777777" w:rsidR="00E06249" w:rsidRPr="00E06249" w:rsidRDefault="00E06249" w:rsidP="00E06249">
            <w:pPr>
              <w:spacing w:after="200" w:line="276" w:lineRule="auto"/>
              <w:ind w:firstLine="288"/>
              <w:rPr>
                <w:rFonts w:ascii="Times New Roman" w:hAnsi="Times New Roman"/>
                <w:b/>
                <w:bCs/>
                <w:sz w:val="28"/>
                <w:szCs w:val="24"/>
                <w:lang w:val="en-US"/>
              </w:rPr>
            </w:pPr>
            <w:r w:rsidRPr="00E06249">
              <w:rPr>
                <w:rFonts w:ascii="Times New Roman" w:hAnsi="Times New Roman"/>
                <w:b/>
                <w:bCs/>
                <w:sz w:val="28"/>
                <w:szCs w:val="24"/>
                <w:lang w:val="en-US"/>
              </w:rPr>
              <w:t>Introduction</w:t>
            </w:r>
          </w:p>
          <w:p w14:paraId="393220F1" w14:textId="77777777" w:rsidR="00E06249" w:rsidRPr="00E06249" w:rsidRDefault="00E06249" w:rsidP="00E06249">
            <w:pPr>
              <w:spacing w:after="200" w:line="276" w:lineRule="auto"/>
              <w:ind w:firstLine="288"/>
              <w:rPr>
                <w:rFonts w:ascii="Times New Roman" w:hAnsi="Times New Roman"/>
                <w:lang w:val="en-US"/>
              </w:rPr>
            </w:pPr>
            <w:r w:rsidRPr="00E06249">
              <w:rPr>
                <w:rFonts w:ascii="Times New Roman" w:hAnsi="Times New Roman"/>
                <w:lang w:val="en-US"/>
              </w:rPr>
              <w:lastRenderedPageBreak/>
              <w:t>ADHD is one of the most commonly diagnosed neurobehavioral disorders of childhood with an estimated prevalence of 6.7% to 12% in the United States.</w:t>
            </w:r>
            <w:r w:rsidRPr="00E06249">
              <w:rPr>
                <w:rFonts w:ascii="Times New Roman" w:hAnsi="Times New Roman"/>
                <w:vertAlign w:val="superscript"/>
                <w:lang w:val="en-US"/>
              </w:rPr>
              <w:t>1</w:t>
            </w:r>
            <w:r w:rsidRPr="00E06249">
              <w:rPr>
                <w:rFonts w:ascii="Times New Roman" w:hAnsi="Times New Roman"/>
                <w:lang w:val="en-US"/>
              </w:rPr>
              <w:t xml:space="preserve"> Children with ADHD exhibit developmentally inappropriate levels of inattention, hyperactivity, and impulsivity resulting in functional impairment and negative outcomes in academic, family, occupational and social settings, and increased risk for substance abuse disorders.</w:t>
            </w:r>
            <w:r w:rsidRPr="00E06249">
              <w:rPr>
                <w:rFonts w:ascii="Times New Roman" w:hAnsi="Times New Roman"/>
                <w:vertAlign w:val="superscript"/>
                <w:lang w:val="en-US"/>
              </w:rPr>
              <w:t>2–4</w:t>
            </w:r>
            <w:r w:rsidRPr="00E06249">
              <w:rPr>
                <w:rFonts w:ascii="Times New Roman" w:hAnsi="Times New Roman"/>
                <w:lang w:val="en-US"/>
              </w:rPr>
              <w:t xml:space="preserve"> Validated treatments for ADHD include pharmacological, psychosocial/behavioral and combined treatments.</w:t>
            </w:r>
          </w:p>
          <w:p w14:paraId="53268435" w14:textId="77777777" w:rsidR="00E06249" w:rsidRPr="00E06249" w:rsidRDefault="00E06249" w:rsidP="00E06249">
            <w:pPr>
              <w:spacing w:after="200" w:line="276" w:lineRule="auto"/>
              <w:ind w:firstLine="288"/>
              <w:rPr>
                <w:rFonts w:ascii="Times New Roman" w:hAnsi="Times New Roman"/>
                <w:lang w:val="en-US"/>
              </w:rPr>
            </w:pPr>
            <w:r w:rsidRPr="00E06249">
              <w:rPr>
                <w:rFonts w:ascii="Times New Roman" w:hAnsi="Times New Roman"/>
                <w:lang w:val="en-US"/>
              </w:rPr>
              <w:t>The primary objective of this paper is to discuss clinical strategies for pharmacological treatment of ADHD in children and adolescents. We provide a brief overview of the neurobiological basis of ADHD, diagnosis, assessment and treatment process of the disorder. The clinical strategies for the first line psychopharmacological treatments are also discussed, as well as when to consider alternate psychopharmacological treatments, and strategies to manage adverse effects and comorbid disorders in children and adolescents with ADHD.</w:t>
            </w:r>
          </w:p>
          <w:p w14:paraId="07AACA1C" w14:textId="77777777" w:rsidR="00E06249" w:rsidRPr="00EC2DB9" w:rsidRDefault="00E06249" w:rsidP="00E06249">
            <w:pPr>
              <w:pStyle w:val="Pa9"/>
              <w:spacing w:after="200" w:line="276" w:lineRule="auto"/>
              <w:ind w:firstLine="288"/>
              <w:jc w:val="both"/>
              <w:rPr>
                <w:rFonts w:ascii="Times New Roman" w:hAnsi="Times New Roman"/>
                <w:b/>
                <w:sz w:val="28"/>
                <w:szCs w:val="32"/>
              </w:rPr>
            </w:pPr>
            <w:r w:rsidRPr="00EC2DB9">
              <w:rPr>
                <w:rFonts w:ascii="Times New Roman" w:hAnsi="Times New Roman"/>
                <w:b/>
                <w:sz w:val="28"/>
                <w:szCs w:val="32"/>
              </w:rPr>
              <w:t>Diagnosis and Assessment</w:t>
            </w:r>
          </w:p>
          <w:p w14:paraId="3E185A61" w14:textId="4DCF5859" w:rsidR="00E06249" w:rsidRPr="00EC2DB9" w:rsidRDefault="00E06249" w:rsidP="00E06249">
            <w:pPr>
              <w:pStyle w:val="Pa10"/>
              <w:spacing w:after="200" w:line="276" w:lineRule="auto"/>
              <w:ind w:firstLine="288"/>
              <w:jc w:val="both"/>
              <w:rPr>
                <w:rFonts w:ascii="Times New Roman" w:hAnsi="Times New Roman" w:cs="Times New Roman"/>
                <w:szCs w:val="23"/>
              </w:rPr>
            </w:pPr>
            <w:r w:rsidRPr="00EC2DB9">
              <w:rPr>
                <w:rFonts w:ascii="Times New Roman" w:hAnsi="Times New Roman" w:cs="Times New Roman"/>
                <w:szCs w:val="23"/>
              </w:rPr>
              <w:t>The Diagnostic and Statistical Manual of Mental Disorders Fourth Edition-Text Revision (DSM-IV-TR) criteria for ADHD diagnosis requires that patients must show a minimum of 6 of the 9 inattentive or hyperactive/impulsive symptoms for at least 6 months.</w:t>
            </w:r>
            <w:r w:rsidRPr="00AF5E68">
              <w:rPr>
                <w:rStyle w:val="A6"/>
                <w:vertAlign w:val="superscript"/>
              </w:rPr>
              <w:t>27</w:t>
            </w:r>
            <w:r w:rsidRPr="00EC2DB9">
              <w:rPr>
                <w:rStyle w:val="A6"/>
              </w:rPr>
              <w:t xml:space="preserve"> </w:t>
            </w:r>
            <w:r w:rsidRPr="00EC2DB9">
              <w:rPr>
                <w:rFonts w:ascii="Times New Roman" w:hAnsi="Times New Roman" w:cs="Times New Roman"/>
                <w:szCs w:val="23"/>
              </w:rPr>
              <w:t xml:space="preserve">Psychiatric evaluation for a DSM-IV-TR diagnosis of ADHD includes a comprehensive psychiatric history from the caregiver(s) and a mental status examination of the patient. Detailed </w:t>
            </w:r>
            <w:r w:rsidRPr="00EC2DB9">
              <w:rPr>
                <w:rFonts w:ascii="Times New Roman" w:hAnsi="Times New Roman" w:cs="Times New Roman"/>
                <w:szCs w:val="23"/>
              </w:rPr>
              <w:lastRenderedPageBreak/>
              <w:t>information should be obtained from the caregiver(s) to review symptoms and behaviors related to inattentive and/or hyperactive/impulsive symptoms, the context in which the symptoms occur, the degree to which these behaviors are inconsistent with the patient’s age, and have led to functional impairment in 2 or more settings, e.g., social, school, and/or home. In addition to the ADHD symptoms, a detailed history regarding presence or absence of any existing comorbid disorders and the patient’s developmental and medical history are required to rule out any developmental and medical conditions and/or medications that may predispose, mimic, or exacerbate ADHD symptoms should be obtained. Any social issues that may have an impact on the child’s ADHD symptom presentation, as well as impact of ADHD symptoms on the child’s social relationships should be explored. Family history for genetic loading of ADHD or other psychiatric disorders should also be obtained.</w:t>
            </w:r>
          </w:p>
          <w:p w14:paraId="2D4C9D5A" w14:textId="08B2D47C" w:rsidR="00ED2F8F" w:rsidRPr="009D1F3B" w:rsidRDefault="00ED2F8F" w:rsidP="00E50F91">
            <w:pPr>
              <w:rPr>
                <w:rFonts w:cstheme="minorHAnsi"/>
                <w:color w:val="000000" w:themeColor="text1"/>
                <w:lang w:val="en-US"/>
              </w:rPr>
            </w:pPr>
          </w:p>
        </w:tc>
        <w:tc>
          <w:tcPr>
            <w:tcW w:w="4529" w:type="dxa"/>
          </w:tcPr>
          <w:p w14:paraId="396E80BE" w14:textId="77777777" w:rsidR="00E06249" w:rsidRDefault="00E06249" w:rsidP="00E06249">
            <w:pPr>
              <w:spacing w:after="200" w:line="276" w:lineRule="auto"/>
              <w:ind w:firstLine="288"/>
              <w:jc w:val="center"/>
              <w:rPr>
                <w:rFonts w:ascii="Times New Roman" w:hAnsi="Times New Roman"/>
                <w:b/>
                <w:bCs/>
                <w:sz w:val="32"/>
                <w:szCs w:val="28"/>
              </w:rPr>
            </w:pPr>
            <w:r w:rsidRPr="009A0812">
              <w:rPr>
                <w:rFonts w:ascii="Times New Roman" w:hAnsi="Times New Roman"/>
                <w:b/>
                <w:bCs/>
                <w:sz w:val="32"/>
                <w:szCs w:val="28"/>
              </w:rPr>
              <w:lastRenderedPageBreak/>
              <w:t xml:space="preserve">Tratamiento farmacológico para niños y adolescentes con trastorno </w:t>
            </w:r>
            <w:r>
              <w:rPr>
                <w:rFonts w:ascii="Times New Roman" w:hAnsi="Times New Roman"/>
                <w:b/>
                <w:bCs/>
                <w:sz w:val="32"/>
                <w:szCs w:val="28"/>
              </w:rPr>
              <w:t>por</w:t>
            </w:r>
            <w:r w:rsidRPr="009A0812">
              <w:rPr>
                <w:rFonts w:ascii="Times New Roman" w:hAnsi="Times New Roman"/>
                <w:b/>
                <w:bCs/>
                <w:sz w:val="32"/>
                <w:szCs w:val="28"/>
              </w:rPr>
              <w:t xml:space="preserve"> déficit de atención e hiperactividad:</w:t>
            </w:r>
            <w:r>
              <w:rPr>
                <w:rFonts w:ascii="Times New Roman" w:hAnsi="Times New Roman"/>
                <w:b/>
                <w:bCs/>
                <w:sz w:val="32"/>
                <w:szCs w:val="28"/>
              </w:rPr>
              <w:t xml:space="preserve"> estrategias clínicas</w:t>
            </w:r>
          </w:p>
          <w:p w14:paraId="5F4DDDA7" w14:textId="77777777" w:rsidR="00E06249" w:rsidRDefault="00E06249" w:rsidP="00E06249">
            <w:pPr>
              <w:spacing w:after="200" w:line="276" w:lineRule="auto"/>
              <w:ind w:firstLine="288"/>
              <w:rPr>
                <w:rFonts w:ascii="Times New Roman" w:hAnsi="Times New Roman"/>
                <w:b/>
                <w:bCs/>
                <w:sz w:val="28"/>
                <w:szCs w:val="24"/>
              </w:rPr>
            </w:pPr>
            <w:r w:rsidRPr="00536A0B">
              <w:rPr>
                <w:rFonts w:ascii="Times New Roman" w:hAnsi="Times New Roman"/>
                <w:b/>
                <w:bCs/>
                <w:sz w:val="28"/>
                <w:szCs w:val="24"/>
              </w:rPr>
              <w:t>Introducción</w:t>
            </w:r>
          </w:p>
          <w:p w14:paraId="493D2755" w14:textId="77777777" w:rsidR="00E06249" w:rsidRDefault="00E06249" w:rsidP="00E06249">
            <w:pPr>
              <w:spacing w:after="200" w:line="276" w:lineRule="auto"/>
              <w:ind w:firstLine="288"/>
              <w:rPr>
                <w:rFonts w:ascii="Times New Roman" w:hAnsi="Times New Roman"/>
              </w:rPr>
            </w:pPr>
            <w:r>
              <w:rPr>
                <w:rFonts w:ascii="Times New Roman" w:hAnsi="Times New Roman"/>
              </w:rPr>
              <w:t xml:space="preserve">El trastorno por déficit de atención e hiperactividad (TDAH) es uno de los trastornos </w:t>
            </w:r>
            <w:r>
              <w:rPr>
                <w:rFonts w:ascii="Times New Roman" w:hAnsi="Times New Roman"/>
              </w:rPr>
              <w:lastRenderedPageBreak/>
              <w:t xml:space="preserve">neuroconductuales </w:t>
            </w:r>
            <w:r w:rsidRPr="001F35BC">
              <w:rPr>
                <w:rFonts w:ascii="Times New Roman" w:hAnsi="Times New Roman"/>
              </w:rPr>
              <w:t>de la niñez más diagnosticados</w:t>
            </w:r>
            <w:r>
              <w:rPr>
                <w:rFonts w:ascii="Times New Roman" w:hAnsi="Times New Roman"/>
              </w:rPr>
              <w:t>, con una prevalencia de entre el 6,7 % y el 12 % en los Estados Unidos.</w:t>
            </w:r>
            <w:r w:rsidRPr="0049552D">
              <w:rPr>
                <w:rFonts w:ascii="Times New Roman" w:hAnsi="Times New Roman"/>
                <w:vertAlign w:val="superscript"/>
              </w:rPr>
              <w:t>1</w:t>
            </w:r>
            <w:r>
              <w:rPr>
                <w:rFonts w:ascii="Times New Roman" w:hAnsi="Times New Roman"/>
              </w:rPr>
              <w:t xml:space="preserve"> Los niños con TDAH presentan niveles inapropiados desde el punto de vista del desarrollo de desatención, hiperactividad e impulsividad, lo que da como resultado deficiencia funcional y resultados negativos en situaciones académicas, familiares, profesionales y sociales, así como también eleva el riesgo de sufrir trastornos de abuso de sustancias.</w:t>
            </w:r>
            <w:r w:rsidRPr="00ED1898">
              <w:rPr>
                <w:rFonts w:ascii="Times New Roman" w:hAnsi="Times New Roman"/>
                <w:vertAlign w:val="superscript"/>
              </w:rPr>
              <w:t>2</w:t>
            </w:r>
            <w:r w:rsidRPr="00BA065D">
              <w:rPr>
                <w:rFonts w:ascii="Times New Roman" w:hAnsi="Times New Roman"/>
                <w:vertAlign w:val="superscript"/>
              </w:rPr>
              <w:t>–</w:t>
            </w:r>
            <w:r w:rsidRPr="00ED1898">
              <w:rPr>
                <w:rFonts w:ascii="Times New Roman" w:hAnsi="Times New Roman"/>
                <w:vertAlign w:val="superscript"/>
              </w:rPr>
              <w:t>4</w:t>
            </w:r>
            <w:r>
              <w:rPr>
                <w:rFonts w:ascii="Times New Roman" w:hAnsi="Times New Roman"/>
              </w:rPr>
              <w:t xml:space="preserve"> Entre los tratamientos válidos para los pacientes con TDAH se encuentran los tratamientos farmacológicos, psicosociales o conductuales, y combinaciones de ambos.</w:t>
            </w:r>
          </w:p>
          <w:p w14:paraId="4A1AD5A6" w14:textId="77777777" w:rsidR="00E06249" w:rsidRDefault="00E06249" w:rsidP="00E06249">
            <w:pPr>
              <w:spacing w:after="200" w:line="276" w:lineRule="auto"/>
              <w:ind w:firstLine="288"/>
              <w:rPr>
                <w:rFonts w:ascii="Times New Roman" w:hAnsi="Times New Roman"/>
              </w:rPr>
            </w:pPr>
            <w:r>
              <w:rPr>
                <w:rFonts w:ascii="Times New Roman" w:hAnsi="Times New Roman"/>
              </w:rPr>
              <w:t>El objetivo principal de este ensayo es abordar diferentes estrategias clínicas para el tratamiento farmacológico de niños y adolescentes con TDAH. Se brinda un breve resumen de las bases neurobiológicas del TDAH, y los procesos de diagnóstico, evaluación y tratamiento del trastorno. También se debaten las estrategias clínicas para los tratamientos psicofarmacológicos de primera línea, los casos en los que se deben considerar tratamientos psicofarmacológicos alternativos, y las estrategias para gestionar los efectos adversos y trastornos concomitantes en niños y adolescentes con TDAH.</w:t>
            </w:r>
          </w:p>
          <w:p w14:paraId="02831F1E" w14:textId="77777777" w:rsidR="00E06249" w:rsidRDefault="00E06249" w:rsidP="00E06249">
            <w:pPr>
              <w:spacing w:after="200" w:line="276" w:lineRule="auto"/>
              <w:ind w:firstLine="288"/>
              <w:rPr>
                <w:rFonts w:ascii="Times New Roman" w:hAnsi="Times New Roman"/>
                <w:b/>
                <w:bCs/>
                <w:sz w:val="28"/>
                <w:szCs w:val="24"/>
              </w:rPr>
            </w:pPr>
            <w:r>
              <w:rPr>
                <w:rFonts w:ascii="Times New Roman" w:hAnsi="Times New Roman"/>
                <w:b/>
                <w:bCs/>
                <w:sz w:val="28"/>
                <w:szCs w:val="24"/>
              </w:rPr>
              <w:t>Diagnóstico y evaluación</w:t>
            </w:r>
          </w:p>
          <w:p w14:paraId="7B4D8541" w14:textId="77777777" w:rsidR="00E06249" w:rsidRDefault="00E06249" w:rsidP="00E06249">
            <w:pPr>
              <w:spacing w:after="200" w:line="276" w:lineRule="auto"/>
              <w:ind w:firstLine="288"/>
              <w:rPr>
                <w:rFonts w:ascii="Times New Roman" w:hAnsi="Times New Roman" w:cs="Times New Roman"/>
                <w:szCs w:val="23"/>
              </w:rPr>
            </w:pPr>
            <w:r>
              <w:rPr>
                <w:rFonts w:ascii="Times New Roman" w:hAnsi="Times New Roman"/>
              </w:rPr>
              <w:t xml:space="preserve">Los criterios para el diagnóstico del TDAH de la cuarta edición revisada del </w:t>
            </w:r>
            <w:r w:rsidRPr="00E203B9">
              <w:rPr>
                <w:rFonts w:ascii="Times New Roman" w:hAnsi="Times New Roman"/>
              </w:rPr>
              <w:t xml:space="preserve">Manual </w:t>
            </w:r>
            <w:r>
              <w:rPr>
                <w:rFonts w:ascii="Times New Roman" w:hAnsi="Times New Roman"/>
              </w:rPr>
              <w:t>d</w:t>
            </w:r>
            <w:r w:rsidRPr="00E203B9">
              <w:rPr>
                <w:rFonts w:ascii="Times New Roman" w:hAnsi="Times New Roman"/>
              </w:rPr>
              <w:t xml:space="preserve">iagnóstico y </w:t>
            </w:r>
            <w:r>
              <w:rPr>
                <w:rFonts w:ascii="Times New Roman" w:hAnsi="Times New Roman"/>
              </w:rPr>
              <w:t>e</w:t>
            </w:r>
            <w:r w:rsidRPr="00E203B9">
              <w:rPr>
                <w:rFonts w:ascii="Times New Roman" w:hAnsi="Times New Roman"/>
              </w:rPr>
              <w:t xml:space="preserve">stadístico de los </w:t>
            </w:r>
            <w:r>
              <w:rPr>
                <w:rFonts w:ascii="Times New Roman" w:hAnsi="Times New Roman"/>
              </w:rPr>
              <w:t>t</w:t>
            </w:r>
            <w:r w:rsidRPr="00E203B9">
              <w:rPr>
                <w:rFonts w:ascii="Times New Roman" w:hAnsi="Times New Roman"/>
              </w:rPr>
              <w:t xml:space="preserve">rastornos </w:t>
            </w:r>
            <w:r>
              <w:rPr>
                <w:rFonts w:ascii="Times New Roman" w:hAnsi="Times New Roman"/>
              </w:rPr>
              <w:t>m</w:t>
            </w:r>
            <w:r w:rsidRPr="00E203B9">
              <w:rPr>
                <w:rFonts w:ascii="Times New Roman" w:hAnsi="Times New Roman"/>
              </w:rPr>
              <w:t>entales</w:t>
            </w:r>
            <w:r>
              <w:rPr>
                <w:rFonts w:ascii="Times New Roman" w:hAnsi="Times New Roman"/>
              </w:rPr>
              <w:t xml:space="preserve"> (</w:t>
            </w:r>
            <w:r w:rsidRPr="00A33050">
              <w:rPr>
                <w:rFonts w:ascii="Times New Roman" w:hAnsi="Times New Roman" w:cs="Times New Roman"/>
                <w:szCs w:val="23"/>
              </w:rPr>
              <w:t>DSM-IV-TR</w:t>
            </w:r>
            <w:r>
              <w:rPr>
                <w:rFonts w:ascii="Times New Roman" w:hAnsi="Times New Roman" w:cs="Times New Roman"/>
                <w:szCs w:val="23"/>
              </w:rPr>
              <w:t xml:space="preserve"> por sus siglas en inglés) indican que los pacientes deben presentar al menos 6 de los 9 síntomas de desatención, hiperactividad e impulsividad por no menos de 6 meses.</w:t>
            </w:r>
            <w:r w:rsidRPr="00A33050">
              <w:rPr>
                <w:rFonts w:ascii="Times New Roman" w:hAnsi="Times New Roman" w:cs="Times New Roman"/>
                <w:szCs w:val="23"/>
                <w:vertAlign w:val="superscript"/>
              </w:rPr>
              <w:t>27</w:t>
            </w:r>
            <w:r>
              <w:rPr>
                <w:rFonts w:ascii="Times New Roman" w:hAnsi="Times New Roman" w:cs="Times New Roman"/>
                <w:szCs w:val="23"/>
              </w:rPr>
              <w:t xml:space="preserve"> La evaluación psiquiátrica para un diagnóstico del TDAH según el </w:t>
            </w:r>
            <w:r w:rsidRPr="00A33050">
              <w:rPr>
                <w:rFonts w:ascii="Times New Roman" w:hAnsi="Times New Roman" w:cs="Times New Roman"/>
                <w:szCs w:val="23"/>
              </w:rPr>
              <w:t>DSM-IV-TR</w:t>
            </w:r>
            <w:r>
              <w:rPr>
                <w:rFonts w:ascii="Times New Roman" w:hAnsi="Times New Roman" w:cs="Times New Roman"/>
                <w:szCs w:val="23"/>
              </w:rPr>
              <w:t xml:space="preserve"> incluye un historial psiquiátrico exhaustivo por parte del (los) cuidador(es) y una evaluación mental del paciente. Se requiere que el(los) </w:t>
            </w:r>
            <w:r>
              <w:rPr>
                <w:rFonts w:ascii="Times New Roman" w:hAnsi="Times New Roman" w:cs="Times New Roman"/>
                <w:szCs w:val="23"/>
              </w:rPr>
              <w:lastRenderedPageBreak/>
              <w:t>cuidador(es) brinden información detallada para estudiar los síntomas y las conductas relacionados con la desatención y/o hiperactividad/impulsividad, el contexto en el que se desarrollan los síntomas, y el grado de inconstancia de estos comportamientos con la edad del paciente y cómo desencadenaron una deficiencia funcional en 2 o más entornos (social, académica y/o familiar). Además de los síntomas propios del TDAH, se debe conseguir un historial detallado que demuestre la presencia o ausencia de cualquier trastorno concomitante y un historial clínico y de desarrollo del paciente para descartar cualquier condición de desarrollo o médica y/o medicamento que pudiera predisponer, imitar o agravar los síntomas del TDAH. Se debe estudiar cualquier problemática social que pudiera afectar la forma en la que se presentan los síntomas del TDAH en el niño y el impacto de los síntomas en sus relaciones sociales. Por último, se debe obtener el historial familiar para verificar la carga genética del TDAH u otros trastornos psiquiátricos similares.</w:t>
            </w:r>
          </w:p>
          <w:p w14:paraId="6F3D484E" w14:textId="4F730F33" w:rsidR="00472318" w:rsidRPr="003B238C" w:rsidRDefault="00472318" w:rsidP="00B41EB5">
            <w:pPr>
              <w:rPr>
                <w:rFonts w:cstheme="minorHAnsi"/>
                <w:color w:val="000000" w:themeColor="text1"/>
              </w:rPr>
            </w:pPr>
          </w:p>
        </w:tc>
      </w:tr>
    </w:tbl>
    <w:p w14:paraId="273A4F89" w14:textId="00DA78EE" w:rsidR="00BA77C8" w:rsidRPr="003B238C" w:rsidRDefault="00BA77C8"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43DBD5C" w14:textId="615AC5A5" w:rsidR="0031649C" w:rsidRDefault="00C32E34" w:rsidP="0031649C">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3730AC9D" w14:textId="7D191EA4" w:rsidR="00C32E34" w:rsidRPr="0031649C" w:rsidRDefault="0031649C" w:rsidP="0031649C">
      <w:pPr>
        <w:rPr>
          <w:rFonts w:eastAsia="Times New Roman" w:cstheme="minorHAnsi"/>
          <w:i/>
          <w:sz w:val="20"/>
          <w:szCs w:val="20"/>
          <w:lang w:val="en-US"/>
        </w:rPr>
      </w:pPr>
      <w:r>
        <w:rPr>
          <w:rFonts w:cstheme="minorHAnsi"/>
          <w:sz w:val="20"/>
          <w:lang w:val="en-US"/>
        </w:rP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lastRenderedPageBreak/>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B95AFB" w14:paraId="4E936DDB" w14:textId="77777777" w:rsidTr="009657B8">
        <w:trPr>
          <w:cantSplit/>
          <w:jc w:val="center"/>
        </w:trPr>
        <w:tc>
          <w:tcPr>
            <w:tcW w:w="3024" w:type="dxa"/>
          </w:tcPr>
          <w:p w14:paraId="16ACC2D0" w14:textId="0C55A62B" w:rsidR="00C32E34" w:rsidRPr="00A02B8F" w:rsidRDefault="00736660" w:rsidP="009657B8">
            <w:pPr>
              <w:pStyle w:val="Table-Body"/>
              <w:rPr>
                <w:rFonts w:ascii="Times New Roman" w:hAnsi="Times New Roman"/>
                <w:i w:val="0"/>
                <w:iCs/>
                <w:noProof w:val="0"/>
                <w:lang w:val="en-US"/>
              </w:rPr>
            </w:pPr>
            <w:r>
              <w:rPr>
                <w:rFonts w:ascii="Times New Roman" w:eastAsia="Calibri" w:hAnsi="Times New Roman"/>
                <w:i w:val="0"/>
                <w:noProof w:val="0"/>
                <w:sz w:val="24"/>
                <w:szCs w:val="22"/>
                <w:lang w:val="en-US"/>
              </w:rPr>
              <w:t xml:space="preserve">(…) </w:t>
            </w:r>
            <w:r w:rsidRPr="00736660">
              <w:rPr>
                <w:rFonts w:ascii="Times New Roman" w:eastAsia="Calibri" w:hAnsi="Times New Roman"/>
                <w:i w:val="0"/>
                <w:noProof w:val="0"/>
                <w:sz w:val="24"/>
                <w:szCs w:val="22"/>
                <w:lang w:val="en-US"/>
              </w:rPr>
              <w:t xml:space="preserve">when to consider alternate psychopharmacological treatments, and strategies to manage </w:t>
            </w:r>
            <w:r w:rsidRPr="00736660">
              <w:rPr>
                <w:rFonts w:ascii="Times New Roman" w:eastAsia="Calibri" w:hAnsi="Times New Roman"/>
                <w:i w:val="0"/>
                <w:noProof w:val="0"/>
                <w:sz w:val="24"/>
                <w:szCs w:val="22"/>
                <w:highlight w:val="yellow"/>
                <w:lang w:val="en-US"/>
              </w:rPr>
              <w:t>adverse effects</w:t>
            </w:r>
            <w:r w:rsidRPr="00736660">
              <w:rPr>
                <w:rFonts w:ascii="Times New Roman" w:eastAsia="Calibri" w:hAnsi="Times New Roman"/>
                <w:i w:val="0"/>
                <w:noProof w:val="0"/>
                <w:sz w:val="24"/>
                <w:szCs w:val="22"/>
                <w:lang w:val="en-US"/>
              </w:rPr>
              <w:t xml:space="preserve"> and comorbid disorders in children and adolescents with ADHD.</w:t>
            </w:r>
          </w:p>
        </w:tc>
        <w:tc>
          <w:tcPr>
            <w:tcW w:w="3024" w:type="dxa"/>
          </w:tcPr>
          <w:p w14:paraId="7E2C2646" w14:textId="3D8E3CB6" w:rsidR="00736660" w:rsidRPr="0031649C" w:rsidRDefault="00736660" w:rsidP="008F34E9">
            <w:pPr>
              <w:pStyle w:val="Table-Body"/>
              <w:rPr>
                <w:rFonts w:ascii="Times New Roman" w:eastAsia="Calibri" w:hAnsi="Times New Roman"/>
                <w:i w:val="0"/>
                <w:iCs/>
                <w:sz w:val="24"/>
                <w:lang w:val="es-AR"/>
              </w:rPr>
            </w:pPr>
            <w:r w:rsidRPr="0031649C">
              <w:rPr>
                <w:rFonts w:ascii="Times New Roman" w:eastAsia="Calibri" w:hAnsi="Times New Roman"/>
                <w:i w:val="0"/>
                <w:iCs/>
                <w:sz w:val="24"/>
                <w:lang w:val="es-AR"/>
              </w:rPr>
              <w:t xml:space="preserve">(…) los casos en los que se deben considerar tratamientos psicofarmacológicos alternativos, y las estrategias para gestionar los </w:t>
            </w:r>
            <w:r w:rsidRPr="0031649C">
              <w:rPr>
                <w:rFonts w:ascii="Times New Roman" w:eastAsia="Calibri" w:hAnsi="Times New Roman"/>
                <w:i w:val="0"/>
                <w:iCs/>
                <w:sz w:val="24"/>
                <w:highlight w:val="yellow"/>
                <w:lang w:val="es-AR"/>
              </w:rPr>
              <w:t>efectos adversos</w:t>
            </w:r>
            <w:r w:rsidRPr="0031649C">
              <w:rPr>
                <w:rFonts w:ascii="Times New Roman" w:eastAsia="Calibri" w:hAnsi="Times New Roman"/>
                <w:i w:val="0"/>
                <w:iCs/>
                <w:sz w:val="24"/>
                <w:lang w:val="es-AR"/>
              </w:rPr>
              <w:t xml:space="preserve"> y trastornos concomitantes en niños y adolescentes con TDAH.</w:t>
            </w:r>
          </w:p>
          <w:p w14:paraId="7CBA6972" w14:textId="7F84CE93" w:rsidR="00C32E34" w:rsidRPr="008F34E9" w:rsidRDefault="00C32E34" w:rsidP="00736660">
            <w:pPr>
              <w:pStyle w:val="Table-Body"/>
              <w:rPr>
                <w:rFonts w:ascii="Times New Roman" w:hAnsi="Times New Roman"/>
                <w:i w:val="0"/>
                <w:iCs/>
                <w:noProof w:val="0"/>
                <w:lang w:val="es-AR"/>
              </w:rPr>
            </w:pPr>
          </w:p>
        </w:tc>
        <w:tc>
          <w:tcPr>
            <w:tcW w:w="3024" w:type="dxa"/>
          </w:tcPr>
          <w:p w14:paraId="166C29FC" w14:textId="1BB349B5" w:rsidR="00C32E34" w:rsidRPr="00521F26" w:rsidRDefault="0031649C" w:rsidP="00521F26">
            <w:pPr>
              <w:pStyle w:val="Table-Body"/>
              <w:jc w:val="both"/>
              <w:rPr>
                <w:i w:val="0"/>
                <w:iCs/>
                <w:noProof w:val="0"/>
                <w:lang w:val="en-US"/>
              </w:rPr>
            </w:pPr>
            <w:r w:rsidRPr="0031649C">
              <w:rPr>
                <w:i w:val="0"/>
                <w:iCs/>
                <w:noProof w:val="0"/>
                <w:lang w:val="en-US"/>
              </w:rPr>
              <w:t xml:space="preserve">There are two </w:t>
            </w:r>
            <w:r>
              <w:rPr>
                <w:i w:val="0"/>
                <w:iCs/>
                <w:noProof w:val="0"/>
                <w:lang w:val="en-US"/>
              </w:rPr>
              <w:t>similar</w:t>
            </w:r>
            <w:r w:rsidRPr="0031649C">
              <w:rPr>
                <w:i w:val="0"/>
                <w:iCs/>
                <w:noProof w:val="0"/>
                <w:lang w:val="en-US"/>
              </w:rPr>
              <w:t xml:space="preserve"> translations </w:t>
            </w:r>
            <w:r>
              <w:rPr>
                <w:i w:val="0"/>
                <w:iCs/>
                <w:noProof w:val="0"/>
                <w:lang w:val="en-US"/>
              </w:rPr>
              <w:t>for this term: “</w:t>
            </w:r>
            <w:proofErr w:type="spellStart"/>
            <w:r>
              <w:rPr>
                <w:i w:val="0"/>
                <w:iCs/>
                <w:noProof w:val="0"/>
                <w:lang w:val="en-US"/>
              </w:rPr>
              <w:t>efectos</w:t>
            </w:r>
            <w:proofErr w:type="spellEnd"/>
            <w:r>
              <w:rPr>
                <w:i w:val="0"/>
                <w:iCs/>
                <w:noProof w:val="0"/>
                <w:lang w:val="en-US"/>
              </w:rPr>
              <w:t xml:space="preserve"> </w:t>
            </w:r>
            <w:proofErr w:type="spellStart"/>
            <w:r>
              <w:rPr>
                <w:i w:val="0"/>
                <w:iCs/>
                <w:noProof w:val="0"/>
                <w:lang w:val="en-US"/>
              </w:rPr>
              <w:t>adversos</w:t>
            </w:r>
            <w:proofErr w:type="spellEnd"/>
            <w:r>
              <w:rPr>
                <w:i w:val="0"/>
                <w:iCs/>
                <w:noProof w:val="0"/>
                <w:lang w:val="en-US"/>
              </w:rPr>
              <w:t>” and “</w:t>
            </w:r>
            <w:proofErr w:type="spellStart"/>
            <w:r>
              <w:rPr>
                <w:i w:val="0"/>
                <w:iCs/>
                <w:noProof w:val="0"/>
                <w:lang w:val="en-US"/>
              </w:rPr>
              <w:t>eventos</w:t>
            </w:r>
            <w:proofErr w:type="spellEnd"/>
            <w:r>
              <w:rPr>
                <w:i w:val="0"/>
                <w:iCs/>
                <w:noProof w:val="0"/>
                <w:lang w:val="en-US"/>
              </w:rPr>
              <w:t xml:space="preserve"> </w:t>
            </w:r>
            <w:proofErr w:type="spellStart"/>
            <w:r>
              <w:rPr>
                <w:i w:val="0"/>
                <w:iCs/>
                <w:noProof w:val="0"/>
                <w:lang w:val="en-US"/>
              </w:rPr>
              <w:t>adversos</w:t>
            </w:r>
            <w:proofErr w:type="spellEnd"/>
            <w:r>
              <w:rPr>
                <w:i w:val="0"/>
                <w:iCs/>
                <w:noProof w:val="0"/>
                <w:lang w:val="en-US"/>
              </w:rPr>
              <w:t xml:space="preserve">”. </w:t>
            </w:r>
            <w:r w:rsidR="00521F26" w:rsidRPr="00521F26">
              <w:rPr>
                <w:i w:val="0"/>
                <w:iCs/>
                <w:noProof w:val="0"/>
                <w:lang w:val="en-US"/>
              </w:rPr>
              <w:t>I have chosen the first one because i</w:t>
            </w:r>
            <w:r w:rsidR="00521F26">
              <w:rPr>
                <w:i w:val="0"/>
                <w:iCs/>
                <w:noProof w:val="0"/>
                <w:lang w:val="en-US"/>
              </w:rPr>
              <w:t>t refers only to side-effects related to the treatment or the drug used, while the latter one includes any unexpected situation that can occur during treatment and which does not necessarily have a causal relationship with this treatment</w:t>
            </w:r>
            <w:r w:rsidR="008F34E9" w:rsidRPr="00521F26">
              <w:rPr>
                <w:i w:val="0"/>
                <w:iCs/>
                <w:noProof w:val="0"/>
                <w:lang w:val="en-US"/>
              </w:rPr>
              <w:t>.</w:t>
            </w:r>
          </w:p>
        </w:tc>
      </w:tr>
      <w:tr w:rsidR="00C32E34" w:rsidRPr="00B95AFB" w14:paraId="4DF1136B" w14:textId="77777777" w:rsidTr="009657B8">
        <w:trPr>
          <w:cantSplit/>
          <w:jc w:val="center"/>
        </w:trPr>
        <w:tc>
          <w:tcPr>
            <w:tcW w:w="3024" w:type="dxa"/>
          </w:tcPr>
          <w:p w14:paraId="08EA4513" w14:textId="29CA2227" w:rsidR="00C32E34" w:rsidRPr="00736660" w:rsidRDefault="00736660" w:rsidP="00736660">
            <w:pPr>
              <w:pStyle w:val="Table-Body"/>
              <w:rPr>
                <w:lang w:val="en-US"/>
              </w:rPr>
            </w:pPr>
            <w:r w:rsidRPr="00736660">
              <w:rPr>
                <w:rFonts w:ascii="Times New Roman" w:eastAsia="Calibri" w:hAnsi="Times New Roman"/>
                <w:i w:val="0"/>
                <w:noProof w:val="0"/>
                <w:sz w:val="24"/>
                <w:szCs w:val="22"/>
                <w:lang w:val="en-US"/>
              </w:rPr>
              <w:t>The Diagnostic and Statistical Manual of Mental Disorders Fourth Edition-Text Revision (DSM-IV-TR) criteria for ADHD diagnosis</w:t>
            </w:r>
          </w:p>
        </w:tc>
        <w:tc>
          <w:tcPr>
            <w:tcW w:w="3024" w:type="dxa"/>
          </w:tcPr>
          <w:p w14:paraId="1E68AD91" w14:textId="6ACB6024" w:rsidR="00C32E34" w:rsidRPr="0031649C" w:rsidRDefault="00736660" w:rsidP="00736660">
            <w:pPr>
              <w:pStyle w:val="Table-Body"/>
              <w:rPr>
                <w:rFonts w:ascii="Times New Roman" w:eastAsia="Calibri" w:hAnsi="Times New Roman"/>
                <w:i w:val="0"/>
                <w:noProof w:val="0"/>
                <w:sz w:val="24"/>
                <w:szCs w:val="22"/>
                <w:lang w:val="es-AR"/>
              </w:rPr>
            </w:pPr>
            <w:r w:rsidRPr="0031649C">
              <w:rPr>
                <w:rFonts w:ascii="Times New Roman" w:eastAsia="Calibri" w:hAnsi="Times New Roman"/>
                <w:i w:val="0"/>
                <w:noProof w:val="0"/>
                <w:sz w:val="24"/>
                <w:szCs w:val="22"/>
                <w:lang w:val="es-AR"/>
              </w:rPr>
              <w:t>Los criterios para el diagnóstico del TDAH de la cuarta edición revisada del Manual diagnóstico y estadístico de los trastornos mentales (DSM-IV-TR por sus siglas en inglés)</w:t>
            </w:r>
          </w:p>
        </w:tc>
        <w:tc>
          <w:tcPr>
            <w:tcW w:w="3024" w:type="dxa"/>
          </w:tcPr>
          <w:p w14:paraId="30D747FA" w14:textId="2C587432" w:rsidR="00C32E34" w:rsidRPr="0031649C" w:rsidRDefault="0031649C" w:rsidP="00521F26">
            <w:pPr>
              <w:pStyle w:val="Table-Body"/>
              <w:jc w:val="both"/>
              <w:rPr>
                <w:lang w:val="en-US"/>
              </w:rPr>
            </w:pPr>
            <w:r w:rsidRPr="00521F26">
              <w:rPr>
                <w:i w:val="0"/>
                <w:iCs/>
                <w:noProof w:val="0"/>
                <w:lang w:val="en-US"/>
              </w:rPr>
              <w:t>Even though most of the time proper names should not be translated, in this case there is an official translation for the book’s title. I have rearranged some of the information so it is clearer in Spanish.</w:t>
            </w:r>
          </w:p>
        </w:tc>
      </w:tr>
      <w:tr w:rsidR="00C32E34" w:rsidRPr="00B95AFB" w14:paraId="0CD05816" w14:textId="77777777" w:rsidTr="009657B8">
        <w:trPr>
          <w:cantSplit/>
          <w:jc w:val="center"/>
        </w:trPr>
        <w:tc>
          <w:tcPr>
            <w:tcW w:w="3024" w:type="dxa"/>
          </w:tcPr>
          <w:p w14:paraId="3482C24B" w14:textId="22F452AE" w:rsidR="00C32E34" w:rsidRPr="008F34E9" w:rsidRDefault="008F34E9" w:rsidP="008F34E9">
            <w:pPr>
              <w:pStyle w:val="Table-Body"/>
              <w:rPr>
                <w:lang w:val="en-US"/>
              </w:rPr>
            </w:pPr>
            <w:r w:rsidRPr="008F34E9">
              <w:rPr>
                <w:rFonts w:ascii="Times New Roman" w:eastAsia="Calibri" w:hAnsi="Times New Roman"/>
                <w:i w:val="0"/>
                <w:noProof w:val="0"/>
                <w:sz w:val="24"/>
                <w:szCs w:val="22"/>
                <w:lang w:val="en-US"/>
              </w:rPr>
              <w:t xml:space="preserve">In addition to the ADHD symptoms, a detailed history regarding presence or absence of any existing </w:t>
            </w:r>
            <w:r w:rsidRPr="008F34E9">
              <w:rPr>
                <w:rFonts w:ascii="Times New Roman" w:eastAsia="Calibri" w:hAnsi="Times New Roman"/>
                <w:i w:val="0"/>
                <w:noProof w:val="0"/>
                <w:sz w:val="24"/>
                <w:szCs w:val="22"/>
                <w:highlight w:val="yellow"/>
                <w:lang w:val="en-US"/>
              </w:rPr>
              <w:t>comorbid disorders</w:t>
            </w:r>
            <w:r w:rsidRPr="008F34E9">
              <w:rPr>
                <w:rFonts w:ascii="Times New Roman" w:eastAsia="Calibri" w:hAnsi="Times New Roman"/>
                <w:i w:val="0"/>
                <w:noProof w:val="0"/>
                <w:sz w:val="24"/>
                <w:szCs w:val="22"/>
                <w:lang w:val="en-US"/>
              </w:rPr>
              <w:t xml:space="preserve"> and the patient’s developmental and medical history</w:t>
            </w:r>
          </w:p>
        </w:tc>
        <w:tc>
          <w:tcPr>
            <w:tcW w:w="3024" w:type="dxa"/>
          </w:tcPr>
          <w:p w14:paraId="17648998" w14:textId="04AD6ADA" w:rsidR="00C32E34" w:rsidRPr="0031649C" w:rsidRDefault="008F34E9" w:rsidP="008F34E9">
            <w:pPr>
              <w:pStyle w:val="Table-Body"/>
              <w:rPr>
                <w:rFonts w:ascii="Times New Roman" w:eastAsia="Calibri" w:hAnsi="Times New Roman"/>
                <w:i w:val="0"/>
                <w:noProof w:val="0"/>
                <w:sz w:val="24"/>
                <w:szCs w:val="22"/>
                <w:lang w:val="es-AR"/>
              </w:rPr>
            </w:pPr>
            <w:r w:rsidRPr="0031649C">
              <w:rPr>
                <w:rFonts w:ascii="Times New Roman" w:eastAsia="Calibri" w:hAnsi="Times New Roman"/>
                <w:i w:val="0"/>
                <w:noProof w:val="0"/>
                <w:sz w:val="24"/>
                <w:szCs w:val="22"/>
                <w:lang w:val="es-AR"/>
              </w:rPr>
              <w:t xml:space="preserve">Además de los síntomas propios del TDAH, se debe conseguir un historial detallado que demuestre la presencia o ausencia de cualquier </w:t>
            </w:r>
            <w:r w:rsidRPr="0031649C">
              <w:rPr>
                <w:rFonts w:ascii="Times New Roman" w:eastAsia="Calibri" w:hAnsi="Times New Roman"/>
                <w:i w:val="0"/>
                <w:noProof w:val="0"/>
                <w:sz w:val="24"/>
                <w:szCs w:val="22"/>
                <w:highlight w:val="yellow"/>
                <w:lang w:val="es-AR"/>
              </w:rPr>
              <w:t>trastorno concomitante</w:t>
            </w:r>
            <w:r w:rsidRPr="0031649C">
              <w:rPr>
                <w:rFonts w:ascii="Times New Roman" w:eastAsia="Calibri" w:hAnsi="Times New Roman"/>
                <w:i w:val="0"/>
                <w:noProof w:val="0"/>
                <w:sz w:val="24"/>
                <w:szCs w:val="22"/>
                <w:lang w:val="es-AR"/>
              </w:rPr>
              <w:t xml:space="preserve"> y un historial clínico y de desarrollo del paciente</w:t>
            </w:r>
          </w:p>
        </w:tc>
        <w:tc>
          <w:tcPr>
            <w:tcW w:w="3024" w:type="dxa"/>
          </w:tcPr>
          <w:p w14:paraId="06FF579A" w14:textId="32C63883" w:rsidR="00C32E34" w:rsidRPr="00521F26" w:rsidRDefault="00F4149B" w:rsidP="00B95AFB">
            <w:pPr>
              <w:pStyle w:val="Table-Body"/>
              <w:jc w:val="both"/>
              <w:rPr>
                <w:i w:val="0"/>
                <w:iCs/>
              </w:rPr>
            </w:pPr>
            <w:r w:rsidRPr="00B95AFB">
              <w:rPr>
                <w:i w:val="0"/>
                <w:iCs/>
                <w:noProof w:val="0"/>
                <w:lang w:val="en-US"/>
              </w:rPr>
              <w:t xml:space="preserve">Another possible translation is “trastorno comórbido”, calqued from English. After researching the use of both options in Google Trends, and consulting medical encyclopedias, I came to the conclusion that “trastorno concomitante” is a recent and more </w:t>
            </w:r>
            <w:r w:rsidR="00B95AFB" w:rsidRPr="00B95AFB">
              <w:rPr>
                <w:i w:val="0"/>
                <w:iCs/>
                <w:noProof w:val="0"/>
                <w:lang w:val="en-US"/>
              </w:rPr>
              <w:t>accurated</w:t>
            </w:r>
            <w:r w:rsidRPr="00B95AFB">
              <w:rPr>
                <w:i w:val="0"/>
                <w:iCs/>
                <w:noProof w:val="0"/>
                <w:lang w:val="en-US"/>
              </w:rPr>
              <w:t xml:space="preserve"> translation.</w:t>
            </w:r>
          </w:p>
        </w:tc>
      </w:tr>
    </w:tbl>
    <w:p w14:paraId="6D7649CD" w14:textId="77777777" w:rsidR="00C32E34" w:rsidRPr="00521F26"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A737F9" w14:paraId="4045A722" w14:textId="77777777" w:rsidTr="009657B8">
        <w:trPr>
          <w:cantSplit/>
          <w:jc w:val="center"/>
        </w:trPr>
        <w:tc>
          <w:tcPr>
            <w:tcW w:w="4525" w:type="dxa"/>
          </w:tcPr>
          <w:p w14:paraId="6F968208" w14:textId="6E3B3AA5" w:rsidR="00A737F9" w:rsidRPr="00A737F9" w:rsidRDefault="00A737F9" w:rsidP="00A737F9">
            <w:pPr>
              <w:rPr>
                <w:lang w:val="en-US"/>
              </w:rPr>
            </w:pPr>
            <w:r w:rsidRPr="0031649C">
              <w:rPr>
                <w:lang w:val="en-US"/>
              </w:rPr>
              <w:t>American Academy of Pediatrics. (2019, </w:t>
            </w:r>
            <w:r w:rsidR="00853D0E" w:rsidRPr="0031649C">
              <w:rPr>
                <w:lang w:val="en-US"/>
              </w:rPr>
              <w:t>S</w:t>
            </w:r>
            <w:r w:rsidRPr="0031649C">
              <w:rPr>
                <w:lang w:val="en-US"/>
              </w:rPr>
              <w:t>ept</w:t>
            </w:r>
            <w:r w:rsidR="00853D0E" w:rsidRPr="0031649C">
              <w:rPr>
                <w:lang w:val="en-US"/>
              </w:rPr>
              <w:t>ember</w:t>
            </w:r>
            <w:r w:rsidRPr="0031649C">
              <w:rPr>
                <w:lang w:val="en-US"/>
              </w:rPr>
              <w:t xml:space="preserve"> 30</w:t>
            </w:r>
            <w:r w:rsidR="00853D0E" w:rsidRPr="0031649C">
              <w:rPr>
                <w:lang w:val="en-US"/>
              </w:rPr>
              <w:t>th</w:t>
            </w:r>
            <w:r w:rsidRPr="0031649C">
              <w:rPr>
                <w:lang w:val="en-US"/>
              </w:rPr>
              <w:t xml:space="preserve">). </w:t>
            </w:r>
            <w:r w:rsidRPr="00853D0E">
              <w:rPr>
                <w:i/>
                <w:iCs/>
              </w:rPr>
              <w:t>Medicamentos y tratamientos comunes para niños con TDAH</w:t>
            </w:r>
            <w:r>
              <w:t xml:space="preserve">. </w:t>
            </w:r>
            <w:r w:rsidRPr="00A737F9">
              <w:rPr>
                <w:lang w:val="en-US"/>
              </w:rPr>
              <w:t xml:space="preserve">Retrieved from HealthyChildren.org: </w:t>
            </w:r>
            <w:hyperlink r:id="rId10" w:history="1">
              <w:r w:rsidRPr="00DF25C9">
                <w:rPr>
                  <w:rStyle w:val="Hipervnculo"/>
                  <w:lang w:val="en-US"/>
                </w:rPr>
                <w:t>https://bit.ly/3hQBUre</w:t>
              </w:r>
            </w:hyperlink>
          </w:p>
        </w:tc>
        <w:tc>
          <w:tcPr>
            <w:tcW w:w="4547" w:type="dxa"/>
          </w:tcPr>
          <w:p w14:paraId="7C07549B" w14:textId="62884CBC" w:rsidR="00C32E34" w:rsidRPr="00A737F9" w:rsidRDefault="00853D0E" w:rsidP="00A737F9">
            <w:pPr>
              <w:rPr>
                <w:lang w:val="en-US"/>
              </w:rPr>
            </w:pPr>
            <w:r>
              <w:rPr>
                <w:lang w:val="en-US"/>
              </w:rPr>
              <w:t>Specific reference. Vocabulary.</w:t>
            </w:r>
          </w:p>
        </w:tc>
      </w:tr>
      <w:tr w:rsidR="00C32E34" w:rsidRPr="00B95AFB" w14:paraId="279DF6CA" w14:textId="77777777" w:rsidTr="009657B8">
        <w:trPr>
          <w:cantSplit/>
          <w:jc w:val="center"/>
        </w:trPr>
        <w:tc>
          <w:tcPr>
            <w:tcW w:w="4525" w:type="dxa"/>
          </w:tcPr>
          <w:p w14:paraId="4B29A1B0" w14:textId="0C03CE99" w:rsidR="00C32E34" w:rsidRPr="00A737F9" w:rsidRDefault="00A737F9" w:rsidP="00A737F9">
            <w:r w:rsidRPr="00A737F9">
              <w:lastRenderedPageBreak/>
              <w:t xml:space="preserve">American </w:t>
            </w:r>
            <w:proofErr w:type="spellStart"/>
            <w:r w:rsidRPr="00A737F9">
              <w:t>Psychiatric</w:t>
            </w:r>
            <w:proofErr w:type="spellEnd"/>
            <w:r w:rsidRPr="00A737F9">
              <w:t xml:space="preserve"> </w:t>
            </w:r>
            <w:proofErr w:type="spellStart"/>
            <w:r w:rsidRPr="00A737F9">
              <w:t>Association</w:t>
            </w:r>
            <w:proofErr w:type="spellEnd"/>
            <w:r w:rsidRPr="00A737F9">
              <w:t xml:space="preserve">. </w:t>
            </w:r>
            <w:r>
              <w:t xml:space="preserve">(1995). </w:t>
            </w:r>
            <w:r w:rsidRPr="00853D0E">
              <w:rPr>
                <w:i/>
                <w:iCs/>
              </w:rPr>
              <w:t>DSM-IV Manual diagnóstico y estadístico de los trastornos mentales</w:t>
            </w:r>
            <w:r>
              <w:t>. Barcelona: MASSON, S.A.</w:t>
            </w:r>
          </w:p>
        </w:tc>
        <w:tc>
          <w:tcPr>
            <w:tcW w:w="4547" w:type="dxa"/>
          </w:tcPr>
          <w:p w14:paraId="172CAAB7" w14:textId="75FF773D" w:rsidR="00C32E34" w:rsidRPr="00A737F9" w:rsidRDefault="00A737F9" w:rsidP="00A737F9">
            <w:pPr>
              <w:rPr>
                <w:lang w:val="en-US"/>
              </w:rPr>
            </w:pPr>
            <w:r>
              <w:rPr>
                <w:lang w:val="en-US"/>
              </w:rPr>
              <w:t xml:space="preserve">Specific reference. </w:t>
            </w:r>
            <w:r w:rsidR="00853D0E">
              <w:rPr>
                <w:lang w:val="en-US"/>
              </w:rPr>
              <w:t>Vocabulary corresponding to section “Diagnosis and Assessment”.</w:t>
            </w:r>
          </w:p>
        </w:tc>
      </w:tr>
      <w:tr w:rsidR="00C32E34" w:rsidRPr="00B95AFB" w14:paraId="429825D4" w14:textId="77777777" w:rsidTr="009657B8">
        <w:trPr>
          <w:cantSplit/>
          <w:jc w:val="center"/>
        </w:trPr>
        <w:tc>
          <w:tcPr>
            <w:tcW w:w="4525" w:type="dxa"/>
          </w:tcPr>
          <w:p w14:paraId="721161B8" w14:textId="3DC85999" w:rsidR="00C32E34" w:rsidRPr="00A737F9" w:rsidRDefault="00A737F9" w:rsidP="00A737F9">
            <w:r w:rsidRPr="00A737F9">
              <w:rPr>
                <w:lang w:val="en-US"/>
              </w:rPr>
              <w:t xml:space="preserve">Anna C. Shier, T. R. (2013, </w:t>
            </w:r>
            <w:r w:rsidR="00853D0E">
              <w:rPr>
                <w:lang w:val="en-US"/>
              </w:rPr>
              <w:t>May</w:t>
            </w:r>
            <w:r w:rsidRPr="00A737F9">
              <w:rPr>
                <w:lang w:val="en-US"/>
              </w:rPr>
              <w:t xml:space="preserve">). </w:t>
            </w:r>
            <w:r w:rsidRPr="00853D0E">
              <w:rPr>
                <w:i/>
                <w:iCs/>
                <w:lang w:val="en-US"/>
              </w:rPr>
              <w:t>Pharmacological Treatment of Attention Deficit Hyperactivity Disorder in Children and Adolescents: Clinical Strategies</w:t>
            </w:r>
            <w:r w:rsidRPr="00A737F9">
              <w:rPr>
                <w:lang w:val="en-US"/>
              </w:rPr>
              <w:t xml:space="preserve">. </w:t>
            </w:r>
            <w:proofErr w:type="spellStart"/>
            <w:r>
              <w:t>Journal</w:t>
            </w:r>
            <w:proofErr w:type="spellEnd"/>
            <w:r>
              <w:t xml:space="preserve"> </w:t>
            </w:r>
            <w:proofErr w:type="spellStart"/>
            <w:r>
              <w:t>of</w:t>
            </w:r>
            <w:proofErr w:type="spellEnd"/>
            <w:r>
              <w:t xml:space="preserve"> Central </w:t>
            </w:r>
            <w:proofErr w:type="spellStart"/>
            <w:r>
              <w:t>Nervous</w:t>
            </w:r>
            <w:proofErr w:type="spellEnd"/>
            <w:r>
              <w:t xml:space="preserve"> </w:t>
            </w:r>
            <w:proofErr w:type="spellStart"/>
            <w:r>
              <w:t>System</w:t>
            </w:r>
            <w:proofErr w:type="spellEnd"/>
            <w:r>
              <w:t xml:space="preserve"> </w:t>
            </w:r>
            <w:proofErr w:type="spellStart"/>
            <w:r>
              <w:t>Disease</w:t>
            </w:r>
            <w:proofErr w:type="spellEnd"/>
            <w:r>
              <w:t>, pp. 1-17.</w:t>
            </w:r>
          </w:p>
        </w:tc>
        <w:tc>
          <w:tcPr>
            <w:tcW w:w="4547" w:type="dxa"/>
          </w:tcPr>
          <w:p w14:paraId="1FDED4D8" w14:textId="6F81E331" w:rsidR="00C32E34" w:rsidRPr="00A737F9" w:rsidRDefault="00853D0E" w:rsidP="00A737F9">
            <w:pPr>
              <w:rPr>
                <w:lang w:val="en-US"/>
              </w:rPr>
            </w:pPr>
            <w:r w:rsidRPr="00A737F9">
              <w:rPr>
                <w:lang w:val="en-US"/>
              </w:rPr>
              <w:t>General reference.</w:t>
            </w:r>
            <w:r>
              <w:rPr>
                <w:lang w:val="en-US"/>
              </w:rPr>
              <w:t xml:space="preserve"> Understanding of the subject and the source material.</w:t>
            </w:r>
          </w:p>
        </w:tc>
      </w:tr>
      <w:tr w:rsidR="00A737F9" w:rsidRPr="00B95AFB" w14:paraId="253CB38D" w14:textId="77777777" w:rsidTr="009657B8">
        <w:trPr>
          <w:cantSplit/>
          <w:jc w:val="center"/>
        </w:trPr>
        <w:tc>
          <w:tcPr>
            <w:tcW w:w="4525" w:type="dxa"/>
          </w:tcPr>
          <w:p w14:paraId="251043FF" w14:textId="04AE1918" w:rsidR="00A737F9" w:rsidRPr="00A737F9" w:rsidRDefault="00A737F9" w:rsidP="00A737F9">
            <w:r>
              <w:t xml:space="preserve">Centro Nacional de Defectos Congénitos y Discapacidades del Desarrollo de los CDC, C. p. (2020, </w:t>
            </w:r>
            <w:r w:rsidR="00853D0E">
              <w:t>September 10th</w:t>
            </w:r>
            <w:r>
              <w:t xml:space="preserve">). </w:t>
            </w:r>
            <w:r w:rsidRPr="00853D0E">
              <w:rPr>
                <w:i/>
                <w:iCs/>
              </w:rPr>
              <w:t>Trastorno por Déficit de Atención e Hiperactividad (TDAH)</w:t>
            </w:r>
            <w:r>
              <w:t xml:space="preserve">. </w:t>
            </w:r>
            <w:proofErr w:type="spellStart"/>
            <w:r>
              <w:t>Retrieved</w:t>
            </w:r>
            <w:proofErr w:type="spellEnd"/>
            <w:r>
              <w:t xml:space="preserve"> </w:t>
            </w:r>
            <w:proofErr w:type="spellStart"/>
            <w:r>
              <w:t>from</w:t>
            </w:r>
            <w:proofErr w:type="spellEnd"/>
            <w:r>
              <w:t xml:space="preserve"> CDC: </w:t>
            </w:r>
            <w:hyperlink r:id="rId11" w:history="1">
              <w:r w:rsidRPr="00DF25C9">
                <w:rPr>
                  <w:rStyle w:val="Hipervnculo"/>
                </w:rPr>
                <w:t>https://bit.ly/3bSHG7J</w:t>
              </w:r>
            </w:hyperlink>
          </w:p>
        </w:tc>
        <w:tc>
          <w:tcPr>
            <w:tcW w:w="4547" w:type="dxa"/>
          </w:tcPr>
          <w:p w14:paraId="7C0D4C80" w14:textId="56A47E0E" w:rsidR="00A737F9" w:rsidRPr="00A737F9" w:rsidRDefault="00853D0E" w:rsidP="00A737F9">
            <w:pPr>
              <w:rPr>
                <w:lang w:val="en-US"/>
              </w:rPr>
            </w:pPr>
            <w:r w:rsidRPr="00A737F9">
              <w:rPr>
                <w:lang w:val="en-US"/>
              </w:rPr>
              <w:t>General reference.</w:t>
            </w:r>
            <w:r>
              <w:rPr>
                <w:lang w:val="en-US"/>
              </w:rPr>
              <w:t xml:space="preserve"> Understanding of the subject and the source material.</w:t>
            </w:r>
          </w:p>
        </w:tc>
      </w:tr>
      <w:bookmarkEnd w:id="0"/>
    </w:tbl>
    <w:p w14:paraId="00A394FB" w14:textId="77777777" w:rsidR="00CA0CDC" w:rsidRPr="0031649C" w:rsidRDefault="00CA0CDC" w:rsidP="00C32E34">
      <w:pPr>
        <w:rPr>
          <w:lang w:val="en-US"/>
        </w:rPr>
      </w:pPr>
    </w:p>
    <w:p w14:paraId="24DBB44E" w14:textId="7E46E3F1" w:rsidR="00E23080" w:rsidRDefault="00222AEE" w:rsidP="00C32E34">
      <w:proofErr w:type="spellStart"/>
      <w:r>
        <w:t>Thanks</w:t>
      </w:r>
      <w:proofErr w:type="spellEnd"/>
      <w:r>
        <w:t>!</w:t>
      </w:r>
    </w:p>
    <w:sectPr w:rsidR="00E2308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2C2F2" w14:textId="77777777" w:rsidR="007B05FF" w:rsidRDefault="007B05FF">
      <w:pPr>
        <w:spacing w:after="0" w:line="240" w:lineRule="auto"/>
      </w:pPr>
      <w:r>
        <w:separator/>
      </w:r>
    </w:p>
  </w:endnote>
  <w:endnote w:type="continuationSeparator" w:id="0">
    <w:p w14:paraId="60827484" w14:textId="77777777" w:rsidR="007B05FF" w:rsidRDefault="007B0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798A1" w14:textId="77777777" w:rsidR="007B05FF" w:rsidRDefault="007B05FF">
      <w:pPr>
        <w:spacing w:after="0" w:line="240" w:lineRule="auto"/>
      </w:pPr>
      <w:r>
        <w:separator/>
      </w:r>
    </w:p>
  </w:footnote>
  <w:footnote w:type="continuationSeparator" w:id="0">
    <w:p w14:paraId="44100956" w14:textId="77777777" w:rsidR="007B05FF" w:rsidRDefault="007B05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A9177" w14:textId="57A6F0BC" w:rsidR="00742B7C" w:rsidRDefault="00982732" w:rsidP="00785076">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63262"/>
    <w:rsid w:val="00116259"/>
    <w:rsid w:val="001D5956"/>
    <w:rsid w:val="00222AEE"/>
    <w:rsid w:val="0029735B"/>
    <w:rsid w:val="002B46B3"/>
    <w:rsid w:val="0031649C"/>
    <w:rsid w:val="003B238C"/>
    <w:rsid w:val="003B4DE8"/>
    <w:rsid w:val="00437080"/>
    <w:rsid w:val="00472318"/>
    <w:rsid w:val="004936AB"/>
    <w:rsid w:val="00502332"/>
    <w:rsid w:val="00521F26"/>
    <w:rsid w:val="00591319"/>
    <w:rsid w:val="00594C8B"/>
    <w:rsid w:val="005C4A8E"/>
    <w:rsid w:val="005E29FD"/>
    <w:rsid w:val="006B63B5"/>
    <w:rsid w:val="00717925"/>
    <w:rsid w:val="00736660"/>
    <w:rsid w:val="00785076"/>
    <w:rsid w:val="007B05FF"/>
    <w:rsid w:val="00814892"/>
    <w:rsid w:val="00817C43"/>
    <w:rsid w:val="00824C3A"/>
    <w:rsid w:val="0083356E"/>
    <w:rsid w:val="00853D0E"/>
    <w:rsid w:val="008F34E9"/>
    <w:rsid w:val="00947BA5"/>
    <w:rsid w:val="00970A9B"/>
    <w:rsid w:val="00982732"/>
    <w:rsid w:val="00992EE4"/>
    <w:rsid w:val="009F14F1"/>
    <w:rsid w:val="00A02B8F"/>
    <w:rsid w:val="00A55667"/>
    <w:rsid w:val="00A605AA"/>
    <w:rsid w:val="00A6385E"/>
    <w:rsid w:val="00A64FA3"/>
    <w:rsid w:val="00A737F9"/>
    <w:rsid w:val="00A9682A"/>
    <w:rsid w:val="00AD0760"/>
    <w:rsid w:val="00AD1A1F"/>
    <w:rsid w:val="00B92973"/>
    <w:rsid w:val="00B95AFB"/>
    <w:rsid w:val="00BA1735"/>
    <w:rsid w:val="00BA77C8"/>
    <w:rsid w:val="00C32E34"/>
    <w:rsid w:val="00C43D38"/>
    <w:rsid w:val="00CA0CDC"/>
    <w:rsid w:val="00CA3D37"/>
    <w:rsid w:val="00CE7801"/>
    <w:rsid w:val="00DB53C1"/>
    <w:rsid w:val="00E06249"/>
    <w:rsid w:val="00E21E4E"/>
    <w:rsid w:val="00E23080"/>
    <w:rsid w:val="00E4753A"/>
    <w:rsid w:val="00E50F91"/>
    <w:rsid w:val="00ED2F8F"/>
    <w:rsid w:val="00F4149B"/>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737F9"/>
    <w:rPr>
      <w:color w:val="0563C1" w:themeColor="hyperlink"/>
      <w:u w:val="single"/>
    </w:rPr>
  </w:style>
  <w:style w:type="character" w:styleId="Mencinsinresolver">
    <w:name w:val="Unresolved Mention"/>
    <w:basedOn w:val="Fuentedeprrafopredeter"/>
    <w:uiPriority w:val="99"/>
    <w:semiHidden/>
    <w:unhideWhenUsed/>
    <w:rsid w:val="00A737F9"/>
    <w:rPr>
      <w:color w:val="605E5C"/>
      <w:shd w:val="clear" w:color="auto" w:fill="E1DFDD"/>
    </w:rPr>
  </w:style>
  <w:style w:type="character" w:styleId="Refdecomentario">
    <w:name w:val="annotation reference"/>
    <w:basedOn w:val="Fuentedeprrafopredeter"/>
    <w:uiPriority w:val="99"/>
    <w:semiHidden/>
    <w:unhideWhenUsed/>
    <w:rsid w:val="00736660"/>
    <w:rPr>
      <w:sz w:val="16"/>
      <w:szCs w:val="16"/>
    </w:rPr>
  </w:style>
  <w:style w:type="paragraph" w:customStyle="1" w:styleId="Textocomentario1">
    <w:name w:val="Texto comentario1"/>
    <w:basedOn w:val="Normal"/>
    <w:next w:val="Textocomentario"/>
    <w:uiPriority w:val="99"/>
    <w:semiHidden/>
    <w:unhideWhenUsed/>
    <w:rsid w:val="00736660"/>
    <w:pPr>
      <w:spacing w:after="120" w:line="240" w:lineRule="auto"/>
      <w:ind w:firstLine="720"/>
      <w:jc w:val="both"/>
    </w:pPr>
    <w:rPr>
      <w:sz w:val="20"/>
      <w:szCs w:val="20"/>
      <w:lang w:val="en-US"/>
    </w:rPr>
  </w:style>
  <w:style w:type="paragraph" w:styleId="Textocomentario">
    <w:name w:val="annotation text"/>
    <w:basedOn w:val="Normal"/>
    <w:link w:val="TextocomentarioCar"/>
    <w:uiPriority w:val="99"/>
    <w:semiHidden/>
    <w:unhideWhenUsed/>
    <w:rsid w:val="0073666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36660"/>
    <w:rPr>
      <w:sz w:val="20"/>
      <w:szCs w:val="20"/>
    </w:rPr>
  </w:style>
  <w:style w:type="paragraph" w:customStyle="1" w:styleId="Pa9">
    <w:name w:val="Pa9"/>
    <w:basedOn w:val="Normal"/>
    <w:next w:val="Normal"/>
    <w:uiPriority w:val="99"/>
    <w:rsid w:val="00E06249"/>
    <w:pPr>
      <w:autoSpaceDE w:val="0"/>
      <w:autoSpaceDN w:val="0"/>
      <w:adjustRightInd w:val="0"/>
      <w:spacing w:after="0" w:line="281" w:lineRule="atLeast"/>
    </w:pPr>
    <w:rPr>
      <w:rFonts w:ascii="Arial" w:hAnsi="Arial" w:cs="Arial"/>
      <w:sz w:val="24"/>
      <w:szCs w:val="24"/>
      <w:lang w:val="en-US"/>
    </w:rPr>
  </w:style>
  <w:style w:type="paragraph" w:customStyle="1" w:styleId="Pa10">
    <w:name w:val="Pa10"/>
    <w:basedOn w:val="Normal"/>
    <w:next w:val="Normal"/>
    <w:uiPriority w:val="99"/>
    <w:rsid w:val="00E06249"/>
    <w:pPr>
      <w:autoSpaceDE w:val="0"/>
      <w:autoSpaceDN w:val="0"/>
      <w:adjustRightInd w:val="0"/>
      <w:spacing w:after="0" w:line="241" w:lineRule="atLeast"/>
    </w:pPr>
    <w:rPr>
      <w:rFonts w:ascii="Arial" w:hAnsi="Arial" w:cs="Arial"/>
      <w:sz w:val="24"/>
      <w:szCs w:val="24"/>
      <w:lang w:val="en-US"/>
    </w:rPr>
  </w:style>
  <w:style w:type="character" w:customStyle="1" w:styleId="A6">
    <w:name w:val="A6"/>
    <w:uiPriority w:val="99"/>
    <w:rsid w:val="00E06249"/>
    <w:rPr>
      <w:rFonts w:ascii="Times New Roman" w:hAnsi="Times New Roman" w:cs="Times New Roman"/>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it.ly/3bSHG7J"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bit.ly/3hQBUr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1599</Words>
  <Characters>9115</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Santiago Glavina Levis</cp:lastModifiedBy>
  <cp:revision>3</cp:revision>
  <dcterms:created xsi:type="dcterms:W3CDTF">2021-05-27T11:13:00Z</dcterms:created>
  <dcterms:modified xsi:type="dcterms:W3CDTF">2021-05-27T11:16:00Z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