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02D87EB9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</w:t>
      </w:r>
      <w:r w:rsidR="00116259">
        <w:rPr>
          <w:rFonts w:cstheme="minorHAnsi"/>
          <w:i/>
          <w:iCs/>
          <w:lang w:val="en-US"/>
        </w:rPr>
        <w:t>e</w:t>
      </w:r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26B5561B" w:rsidR="00C32E34" w:rsidRPr="009D1F3B" w:rsidRDefault="00CD0F53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drug product</w:t>
            </w:r>
          </w:p>
        </w:tc>
        <w:tc>
          <w:tcPr>
            <w:tcW w:w="4449" w:type="dxa"/>
          </w:tcPr>
          <w:p w14:paraId="0BC73C5D" w14:textId="77C18EFA" w:rsidR="00C32E34" w:rsidRPr="00CD0F53" w:rsidRDefault="00CD0F53" w:rsidP="009657B8">
            <w:pPr>
              <w:rPr>
                <w:rFonts w:cstheme="minorHAnsi"/>
                <w:color w:val="000000" w:themeColor="text1"/>
              </w:rPr>
            </w:pPr>
            <w:r w:rsidRPr="00CD0F53">
              <w:rPr>
                <w:rFonts w:cstheme="minorHAnsi"/>
                <w:color w:val="000000" w:themeColor="text1"/>
              </w:rPr>
              <w:t>medicamento</w:t>
            </w:r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1872D9B3" w:rsidR="00C32E34" w:rsidRDefault="00CD0F53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emergency supply</w:t>
            </w:r>
          </w:p>
        </w:tc>
        <w:tc>
          <w:tcPr>
            <w:tcW w:w="4449" w:type="dxa"/>
          </w:tcPr>
          <w:p w14:paraId="1479DEB3" w14:textId="6698C8B1" w:rsidR="00C32E34" w:rsidRPr="00CD0F53" w:rsidRDefault="00CD0F53" w:rsidP="009657B8">
            <w:pPr>
              <w:rPr>
                <w:rFonts w:cstheme="minorHAnsi"/>
                <w:color w:val="000000" w:themeColor="text1"/>
              </w:rPr>
            </w:pPr>
            <w:r w:rsidRPr="00CD0F53">
              <w:rPr>
                <w:rFonts w:cstheme="minorHAnsi"/>
                <w:color w:val="000000" w:themeColor="text1"/>
              </w:rPr>
              <w:t>suministro de emergencia</w:t>
            </w: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3AFA8770" w:rsidR="00C32E34" w:rsidRDefault="00CD0F53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t>sh</w:t>
            </w:r>
            <w:bookmarkStart w:id="0" w:name="_GoBack"/>
            <w:bookmarkEnd w:id="0"/>
            <w:r>
              <w:t>elf</w:t>
            </w:r>
            <w:proofErr w:type="spellEnd"/>
            <w:r>
              <w:t xml:space="preserve"> </w:t>
            </w:r>
            <w:proofErr w:type="spellStart"/>
            <w:r>
              <w:t>life</w:t>
            </w:r>
            <w:proofErr w:type="spellEnd"/>
          </w:p>
        </w:tc>
        <w:tc>
          <w:tcPr>
            <w:tcW w:w="4449" w:type="dxa"/>
          </w:tcPr>
          <w:p w14:paraId="39141B9D" w14:textId="09FAE6F8" w:rsidR="00C32E34" w:rsidRPr="00CD0F53" w:rsidRDefault="00CD0F53" w:rsidP="009657B8">
            <w:pPr>
              <w:rPr>
                <w:rFonts w:cstheme="minorHAnsi"/>
                <w:color w:val="000000" w:themeColor="text1"/>
              </w:rPr>
            </w:pPr>
            <w:r w:rsidRPr="00CD0F53">
              <w:rPr>
                <w:rFonts w:cstheme="minorHAnsi"/>
                <w:color w:val="000000" w:themeColor="text1"/>
              </w:rPr>
              <w:t>periodo de validez</w:t>
            </w:r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760D5CB1" w:rsidR="00C32E34" w:rsidRDefault="00A04F89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storage</w:t>
            </w:r>
          </w:p>
        </w:tc>
        <w:tc>
          <w:tcPr>
            <w:tcW w:w="4449" w:type="dxa"/>
          </w:tcPr>
          <w:p w14:paraId="09A4F8BB" w14:textId="16392DB1" w:rsidR="00C32E34" w:rsidRPr="00CD0F53" w:rsidRDefault="00A04F89" w:rsidP="009657B8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almacenamiento</w:t>
            </w:r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aconcuadrcula"/>
        <w:tblW w:w="8879" w:type="dxa"/>
        <w:tblInd w:w="-95" w:type="dxa"/>
        <w:tblLook w:val="04A0" w:firstRow="1" w:lastRow="0" w:firstColumn="1" w:lastColumn="0" w:noHBand="0" w:noVBand="1"/>
      </w:tblPr>
      <w:tblGrid>
        <w:gridCol w:w="4201"/>
        <w:gridCol w:w="4678"/>
      </w:tblGrid>
      <w:tr w:rsidR="00472318" w:rsidRPr="00B832E6" w14:paraId="450D9B13" w14:textId="77777777" w:rsidTr="00544A0B">
        <w:tc>
          <w:tcPr>
            <w:tcW w:w="4201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678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:rsidRPr="00C711D8" w14:paraId="1D0BC489" w14:textId="77777777" w:rsidTr="00544A0B">
        <w:tc>
          <w:tcPr>
            <w:tcW w:w="4201" w:type="dxa"/>
          </w:tcPr>
          <w:p w14:paraId="55612B6A" w14:textId="3D553443" w:rsidR="00C711D8" w:rsidRDefault="00C711D8" w:rsidP="00C711D8">
            <w:pPr>
              <w:pStyle w:val="Ttulo2"/>
              <w:keepLines/>
              <w:spacing w:before="240" w:after="180"/>
              <w:outlineLvl w:val="1"/>
            </w:pPr>
            <w:bookmarkStart w:id="1" w:name="_Toc18496656"/>
            <w:bookmarkStart w:id="2" w:name="_Toc33009994"/>
            <w:r w:rsidRPr="001F7EDD">
              <w:lastRenderedPageBreak/>
              <w:t>Discussion of the Changes</w:t>
            </w:r>
            <w:bookmarkEnd w:id="1"/>
            <w:bookmarkEnd w:id="2"/>
          </w:p>
          <w:p w14:paraId="0BCB6ED5" w14:textId="77777777" w:rsidR="00C711D8" w:rsidRDefault="00C711D8" w:rsidP="00C711D8">
            <w:pPr>
              <w:pStyle w:val="Ttulo3"/>
              <w:keepLines/>
              <w:spacing w:before="180" w:after="180"/>
              <w:outlineLvl w:val="2"/>
            </w:pPr>
            <w:r>
              <w:t>Addition of Drug Product Storage Condition of -20±5 °C</w:t>
            </w:r>
          </w:p>
          <w:p w14:paraId="16679562" w14:textId="6C79C830" w:rsidR="00C711D8" w:rsidRDefault="00C711D8" w:rsidP="00C711D8">
            <w:pPr>
              <w:pStyle w:val="Paragraph"/>
            </w:pPr>
            <w:bookmarkStart w:id="3" w:name="_Toc33010006"/>
            <w:r>
              <w:t xml:space="preserve">Drug product stability data at -20±5 °C are updated in </w:t>
            </w:r>
            <w:r w:rsidRPr="3140A5EA">
              <w:rPr>
                <w:rStyle w:val="BlueText"/>
              </w:rPr>
              <w:t>Section 3.2.P.8.1 Stability Summary and Conclusions</w:t>
            </w:r>
            <w:r>
              <w:t xml:space="preserve"> and </w:t>
            </w:r>
            <w:r w:rsidRPr="3140A5EA">
              <w:rPr>
                <w:rStyle w:val="BlueText"/>
              </w:rPr>
              <w:t xml:space="preserve">Section 3.2.P.8.3 Stability Data – Accelerated </w:t>
            </w:r>
            <w:r>
              <w:t>in support of an additional storage condition of -20±5 °C for up to 2 weeks.  Updates include results at the accelerated condition of -20±5 °C for emergency supply and/or process performance qualification lots EL7834, EK4242, EJ1688, EJ1686, EK1768, EJ1685, EJ0553 EE8492, and EE8493. Current available data at the accelerated condition of -20±5 °C include up to 3 months of data from two emergency supply lots (pre-process performance qualification lots EE8492 and EE8493) and 1 month of data for all other lots.  All data generated to date</w:t>
            </w:r>
            <w:r w:rsidR="00A04F89">
              <w:t xml:space="preserve"> (15-JAN-2021)</w:t>
            </w:r>
            <w:r>
              <w:t xml:space="preserve"> at the -20±5 °C storage condition are within the specifications stated for drug product lots and support an additional storage at -20±5 °C for up to 2 weeks.  As additional stability data is obtained on the process performance qualification lots that will be enrolled in formal stability programs after they are manufactured, extensions for shelf life at the long-term storage condition as well as short-term durations at alternate temperatures may be considered.</w:t>
            </w:r>
          </w:p>
          <w:p w14:paraId="1EDA8654" w14:textId="77777777" w:rsidR="00C711D8" w:rsidRDefault="00C711D8" w:rsidP="00C711D8">
            <w:pPr>
              <w:pStyle w:val="Ttulo3"/>
              <w:keepLines/>
              <w:spacing w:before="180" w:after="180"/>
              <w:outlineLvl w:val="2"/>
            </w:pPr>
            <w:r>
              <w:t>Information to Fulfill Recommendations</w:t>
            </w:r>
          </w:p>
          <w:p w14:paraId="4060010F" w14:textId="77777777" w:rsidR="00C711D8" w:rsidRPr="00E976EE" w:rsidRDefault="00C711D8" w:rsidP="00C711D8">
            <w:pPr>
              <w:pStyle w:val="BodyText12"/>
            </w:pPr>
            <w:r>
              <w:t xml:space="preserve">As noted in </w:t>
            </w:r>
            <w:r>
              <w:fldChar w:fldCharType="begin"/>
            </w:r>
            <w:r>
              <w:instrText xml:space="preserve"> REF _Ref12268913 \h </w:instrText>
            </w:r>
            <w:r>
              <w:fldChar w:fldCharType="separate"/>
            </w:r>
            <w:r w:rsidRPr="00C81C92">
              <w:t>Table 2.3-</w:t>
            </w:r>
            <w:r>
              <w:rPr>
                <w:noProof/>
              </w:rPr>
              <w:t>1</w:t>
            </w:r>
            <w:r>
              <w:fldChar w:fldCharType="end"/>
            </w:r>
            <w:r>
              <w:t>, the information presented in this submission partially fulfills Recommendation REC 22.  The additional storage at</w:t>
            </w:r>
            <w:r w:rsidRPr="004305EB">
              <w:t xml:space="preserve"> -20±5 °C for up to 2 weeks</w:t>
            </w:r>
            <w:r>
              <w:t xml:space="preserve">, supported by stability data from multiple drug product lots </w:t>
            </w:r>
            <w:r w:rsidRPr="00722BE5">
              <w:t>at -20±5 °C</w:t>
            </w:r>
            <w:r>
              <w:t xml:space="preserve">, fulfills the recommendation to </w:t>
            </w:r>
            <w:r>
              <w:lastRenderedPageBreak/>
              <w:t xml:space="preserve">investigate opportunities for storage conditions for the finished product at -20 </w:t>
            </w:r>
            <w:r w:rsidRPr="004305EB">
              <w:t>°</w:t>
            </w:r>
            <w:r>
              <w:t>C.  As additional data are obtained, the possibilities of prolonging the in-use storage time (before dilution) at 2-8 </w:t>
            </w:r>
            <w:r w:rsidRPr="004305EB">
              <w:t>°</w:t>
            </w:r>
            <w:r>
              <w:t xml:space="preserve">C and extending the claims for transport conditions at 2-8 </w:t>
            </w:r>
            <w:r w:rsidRPr="004305EB">
              <w:t>°</w:t>
            </w:r>
            <w:r>
              <w:t>C will be evaluated.</w:t>
            </w:r>
          </w:p>
          <w:p w14:paraId="3E156D4C" w14:textId="77777777" w:rsidR="00C711D8" w:rsidRDefault="00C711D8" w:rsidP="00C711D8">
            <w:pPr>
              <w:pStyle w:val="Ttulo2"/>
              <w:keepLines/>
              <w:spacing w:before="240" w:after="180"/>
              <w:outlineLvl w:val="1"/>
            </w:pPr>
            <w:r>
              <w:t>Conclusion</w:t>
            </w:r>
            <w:bookmarkEnd w:id="3"/>
          </w:p>
          <w:p w14:paraId="4F8E57C3" w14:textId="3F86E139" w:rsidR="00ED2F8F" w:rsidRPr="00C711D8" w:rsidRDefault="00C711D8" w:rsidP="00C711D8">
            <w:pPr>
              <w:pStyle w:val="BodyText12"/>
            </w:pPr>
            <w:r>
              <w:t xml:space="preserve">In order to support an additional storage condition of </w:t>
            </w:r>
            <w:r w:rsidRPr="004305EB">
              <w:t>-20±5 °C for up to 2 weeks</w:t>
            </w:r>
            <w:r>
              <w:t xml:space="preserve">, up to 3 months of stability data at the </w:t>
            </w:r>
            <w:r w:rsidRPr="004305EB">
              <w:t>-20±5 °C</w:t>
            </w:r>
            <w:r>
              <w:t xml:space="preserve"> storage condition is provided from multiple drug product lots.</w:t>
            </w:r>
          </w:p>
          <w:p w14:paraId="2D4C9D5A" w14:textId="08B2D47C" w:rsidR="00ED2F8F" w:rsidRPr="009D1F3B" w:rsidRDefault="00ED2F8F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678" w:type="dxa"/>
          </w:tcPr>
          <w:p w14:paraId="03003979" w14:textId="77777777" w:rsidR="00C711D8" w:rsidRDefault="00C711D8" w:rsidP="00C711D8">
            <w:pPr>
              <w:pStyle w:val="Ttulo2"/>
              <w:keepLines/>
              <w:spacing w:before="240" w:after="180"/>
              <w:outlineLvl w:val="1"/>
            </w:pPr>
            <w:proofErr w:type="spellStart"/>
            <w:r>
              <w:lastRenderedPageBreak/>
              <w:t>Análisis</w:t>
            </w:r>
            <w:proofErr w:type="spellEnd"/>
            <w:r>
              <w:t xml:space="preserve"> de </w:t>
            </w:r>
            <w:proofErr w:type="spellStart"/>
            <w:r>
              <w:t>los</w:t>
            </w:r>
            <w:proofErr w:type="spellEnd"/>
            <w:r>
              <w:t xml:space="preserve"> </w:t>
            </w:r>
            <w:proofErr w:type="spellStart"/>
            <w:r>
              <w:t>Cambios</w:t>
            </w:r>
            <w:proofErr w:type="spellEnd"/>
          </w:p>
          <w:p w14:paraId="3AA9778D" w14:textId="7BFA5B33" w:rsidR="00C711D8" w:rsidRPr="00C711D8" w:rsidRDefault="00C711D8" w:rsidP="00C711D8">
            <w:pPr>
              <w:pStyle w:val="Ttulo3"/>
              <w:keepLines/>
              <w:spacing w:before="180" w:after="180"/>
              <w:outlineLvl w:val="2"/>
              <w:rPr>
                <w:lang w:val="es-AR"/>
              </w:rPr>
            </w:pPr>
            <w:r w:rsidRPr="00C711D8">
              <w:rPr>
                <w:lang w:val="es-AR"/>
              </w:rPr>
              <w:t>Adición de la Condición de</w:t>
            </w:r>
            <w:r>
              <w:rPr>
                <w:lang w:val="es-AR"/>
              </w:rPr>
              <w:t xml:space="preserve"> Almacenamiento del Producto a -</w:t>
            </w:r>
            <w:r w:rsidR="00544A0B">
              <w:rPr>
                <w:lang w:val="es-AR"/>
              </w:rPr>
              <w:t>20 ± 5 </w:t>
            </w:r>
            <w:r w:rsidRPr="00C711D8">
              <w:rPr>
                <w:lang w:val="es-AR"/>
              </w:rPr>
              <w:t>°C</w:t>
            </w:r>
          </w:p>
          <w:p w14:paraId="125C3697" w14:textId="42B68A36" w:rsidR="00C711D8" w:rsidRPr="00C711D8" w:rsidRDefault="00C711D8" w:rsidP="00C711D8">
            <w:pPr>
              <w:pStyle w:val="Paragraph"/>
              <w:rPr>
                <w:lang w:val="es-AR"/>
              </w:rPr>
            </w:pPr>
            <w:r w:rsidRPr="00C711D8">
              <w:rPr>
                <w:lang w:val="es-AR"/>
              </w:rPr>
              <w:t>Los datos de</w:t>
            </w:r>
            <w:r>
              <w:rPr>
                <w:lang w:val="es-AR"/>
              </w:rPr>
              <w:t xml:space="preserve"> estabilidad del medicamento a -</w:t>
            </w:r>
            <w:r w:rsidR="00544A0B">
              <w:rPr>
                <w:lang w:val="es-AR"/>
              </w:rPr>
              <w:t>20 ± 5 </w:t>
            </w:r>
            <w:r w:rsidRPr="00C711D8">
              <w:rPr>
                <w:lang w:val="es-AR"/>
              </w:rPr>
              <w:t xml:space="preserve">°C se actualizaron en la </w:t>
            </w:r>
            <w:r w:rsidRPr="00C711D8">
              <w:rPr>
                <w:rStyle w:val="BlueText"/>
                <w:lang w:val="es-AR"/>
              </w:rPr>
              <w:t>Sección 3.2.P.8.1 Resumen de Estabilidad y Conclusiones</w:t>
            </w:r>
            <w:r w:rsidRPr="00C711D8">
              <w:rPr>
                <w:lang w:val="es-AR"/>
              </w:rPr>
              <w:t xml:space="preserve"> y en la </w:t>
            </w:r>
            <w:r w:rsidRPr="00C711D8">
              <w:rPr>
                <w:rStyle w:val="BlueText"/>
                <w:lang w:val="es-AR"/>
              </w:rPr>
              <w:t xml:space="preserve">Sección 3.2.P.8.3 Datos de Estabilidad: Acelerada </w:t>
            </w:r>
            <w:r w:rsidRPr="00C711D8">
              <w:rPr>
                <w:lang w:val="es-AR"/>
              </w:rPr>
              <w:t xml:space="preserve">para respaldar una condición </w:t>
            </w:r>
            <w:r>
              <w:rPr>
                <w:lang w:val="es-AR"/>
              </w:rPr>
              <w:t>de almacenamiento adicional de -</w:t>
            </w:r>
            <w:r w:rsidRPr="00C711D8">
              <w:rPr>
                <w:lang w:val="es-AR"/>
              </w:rPr>
              <w:t>20 ± 5 °C durante has</w:t>
            </w:r>
            <w:r>
              <w:rPr>
                <w:lang w:val="es-AR"/>
              </w:rPr>
              <w:t>ta 2 semanas.  Las actualizaciones</w:t>
            </w:r>
            <w:r w:rsidRPr="00C711D8">
              <w:rPr>
                <w:lang w:val="es-AR"/>
              </w:rPr>
              <w:t xml:space="preserve"> incluyen los resultados e</w:t>
            </w:r>
            <w:r>
              <w:rPr>
                <w:lang w:val="es-AR"/>
              </w:rPr>
              <w:t xml:space="preserve">n </w:t>
            </w:r>
            <w:r w:rsidR="00544A0B">
              <w:rPr>
                <w:lang w:val="es-AR"/>
              </w:rPr>
              <w:t>las condiciones aceleradas a -20 ± 5 </w:t>
            </w:r>
            <w:r w:rsidRPr="00C711D8">
              <w:rPr>
                <w:lang w:val="es-AR"/>
              </w:rPr>
              <w:t>°C de lotes de suministro de emergencia y/o de lotes de la calificación de rendimiento del proceso EL7834, EK4242, EJ1688, EJ1686, EK1768, E</w:t>
            </w:r>
            <w:r w:rsidR="00544A0B">
              <w:rPr>
                <w:lang w:val="es-AR"/>
              </w:rPr>
              <w:t>J1685, EJ0553 EE8492 y EE8493. Los d</w:t>
            </w:r>
            <w:r w:rsidRPr="00C711D8">
              <w:rPr>
                <w:lang w:val="es-AR"/>
              </w:rPr>
              <w:t>atos disponibles actual</w:t>
            </w:r>
            <w:r>
              <w:rPr>
                <w:lang w:val="es-AR"/>
              </w:rPr>
              <w:t>es en la condición acelerada a -</w:t>
            </w:r>
            <w:r w:rsidR="00544A0B">
              <w:rPr>
                <w:lang w:val="es-AR"/>
              </w:rPr>
              <w:t>20 ± 5 </w:t>
            </w:r>
            <w:r w:rsidRPr="00C711D8">
              <w:rPr>
                <w:lang w:val="es-AR"/>
              </w:rPr>
              <w:t xml:space="preserve">°C </w:t>
            </w:r>
            <w:r w:rsidR="00544A0B">
              <w:rPr>
                <w:lang w:val="es-AR"/>
              </w:rPr>
              <w:t xml:space="preserve">incluyen </w:t>
            </w:r>
            <w:r w:rsidRPr="00C711D8">
              <w:rPr>
                <w:lang w:val="es-AR"/>
              </w:rPr>
              <w:t xml:space="preserve">hasta 3 meses de datos de dos lotes de suministro (lotes EE8492 y EE8493 de la calificación de rendimiento del </w:t>
            </w:r>
            <w:proofErr w:type="spellStart"/>
            <w:r w:rsidRPr="00C711D8">
              <w:rPr>
                <w:lang w:val="es-AR"/>
              </w:rPr>
              <w:t>preproceso</w:t>
            </w:r>
            <w:proofErr w:type="spellEnd"/>
            <w:r w:rsidRPr="00C711D8">
              <w:rPr>
                <w:lang w:val="es-AR"/>
              </w:rPr>
              <w:t>) y 1 mes de datos de todos los otros lote</w:t>
            </w:r>
            <w:r w:rsidR="00CD0F53">
              <w:rPr>
                <w:lang w:val="es-AR"/>
              </w:rPr>
              <w:t>s.  Todos los datos generados hasta el</w:t>
            </w:r>
            <w:r w:rsidRPr="00C711D8">
              <w:rPr>
                <w:lang w:val="es-AR"/>
              </w:rPr>
              <w:t xml:space="preserve"> momento</w:t>
            </w:r>
            <w:r w:rsidR="00A04F89">
              <w:rPr>
                <w:lang w:val="es-AR"/>
              </w:rPr>
              <w:t xml:space="preserve"> (2021-01-15)</w:t>
            </w:r>
            <w:r w:rsidRPr="00C711D8">
              <w:rPr>
                <w:lang w:val="es-AR"/>
              </w:rPr>
              <w:t xml:space="preserve"> en la</w:t>
            </w:r>
            <w:r>
              <w:rPr>
                <w:lang w:val="es-AR"/>
              </w:rPr>
              <w:t xml:space="preserve"> condición de almacenamiento a -</w:t>
            </w:r>
            <w:r w:rsidR="00544A0B">
              <w:rPr>
                <w:lang w:val="es-AR"/>
              </w:rPr>
              <w:t>20 ± 5 </w:t>
            </w:r>
            <w:r w:rsidRPr="00C711D8">
              <w:rPr>
                <w:lang w:val="es-AR"/>
              </w:rPr>
              <w:t>°C se encuentran dentro de las especificaciones establecidas para los lotes del medicamento y respaldan</w:t>
            </w:r>
            <w:r>
              <w:rPr>
                <w:lang w:val="es-AR"/>
              </w:rPr>
              <w:t xml:space="preserve"> un almacenamiento adicional a -</w:t>
            </w:r>
            <w:r w:rsidR="00544A0B">
              <w:rPr>
                <w:lang w:val="es-AR"/>
              </w:rPr>
              <w:t>20 ± 5 </w:t>
            </w:r>
            <w:r w:rsidRPr="00C711D8">
              <w:rPr>
                <w:lang w:val="es-AR"/>
              </w:rPr>
              <w:t>°C durante hasta 2 semanas.  En cuanto se obtengan los datos de los lotes de la calificación de rendimiento del proceso que se inscribirán en programas de estabilidad formal después de</w:t>
            </w:r>
            <w:r w:rsidR="00CD0F53">
              <w:rPr>
                <w:lang w:val="es-AR"/>
              </w:rPr>
              <w:t xml:space="preserve"> su fabricación</w:t>
            </w:r>
            <w:r w:rsidRPr="00C711D8">
              <w:rPr>
                <w:lang w:val="es-AR"/>
              </w:rPr>
              <w:t>, se pueden considerar extensiones del periodo de validez en la condición de almacenamiento a largo plazo y en duraciones a corto plazo en temperaturas alternativas.</w:t>
            </w:r>
          </w:p>
          <w:p w14:paraId="76A70B94" w14:textId="77777777" w:rsidR="00C711D8" w:rsidRDefault="00C711D8" w:rsidP="00C711D8">
            <w:pPr>
              <w:pStyle w:val="Ttulo3"/>
              <w:keepLines/>
              <w:spacing w:before="180" w:after="180"/>
              <w:outlineLvl w:val="2"/>
            </w:pPr>
            <w:proofErr w:type="spellStart"/>
            <w:r>
              <w:t>Información</w:t>
            </w:r>
            <w:proofErr w:type="spellEnd"/>
            <w:r>
              <w:t xml:space="preserve"> para </w:t>
            </w:r>
            <w:proofErr w:type="spellStart"/>
            <w:r>
              <w:t>Completar</w:t>
            </w:r>
            <w:proofErr w:type="spellEnd"/>
            <w:r>
              <w:t xml:space="preserve"> las </w:t>
            </w:r>
            <w:proofErr w:type="spellStart"/>
            <w:r>
              <w:t>Recomendaciones</w:t>
            </w:r>
            <w:proofErr w:type="spellEnd"/>
          </w:p>
          <w:p w14:paraId="01742CF9" w14:textId="0C40B458" w:rsidR="00C711D8" w:rsidRPr="00C711D8" w:rsidRDefault="00C711D8" w:rsidP="00C711D8">
            <w:pPr>
              <w:pStyle w:val="BodyText12"/>
              <w:rPr>
                <w:lang w:val="es-AR"/>
              </w:rPr>
            </w:pPr>
            <w:r w:rsidRPr="00C711D8">
              <w:rPr>
                <w:lang w:val="es-AR"/>
              </w:rPr>
              <w:t xml:space="preserve">Como se señaló en la </w:t>
            </w:r>
            <w:r>
              <w:fldChar w:fldCharType="begin"/>
            </w:r>
            <w:r w:rsidRPr="00C711D8">
              <w:rPr>
                <w:lang w:val="es-AR"/>
              </w:rPr>
              <w:instrText xml:space="preserve"> REF _Ref12268913 \h </w:instrText>
            </w:r>
            <w:r>
              <w:fldChar w:fldCharType="separate"/>
            </w:r>
            <w:r w:rsidRPr="00C711D8">
              <w:rPr>
                <w:lang w:val="es-AR"/>
              </w:rPr>
              <w:t>Tabla 2.3-</w:t>
            </w:r>
            <w:r w:rsidRPr="00C711D8">
              <w:rPr>
                <w:noProof/>
                <w:lang w:val="es-AR"/>
              </w:rPr>
              <w:t>1</w:t>
            </w:r>
            <w:r>
              <w:fldChar w:fldCharType="end"/>
            </w:r>
            <w:r w:rsidRPr="00C711D8">
              <w:rPr>
                <w:lang w:val="es-AR"/>
              </w:rPr>
              <w:t xml:space="preserve">, la información que se exhibe en esta presentación cumple parcialmente la Recomendación REC 22. </w:t>
            </w:r>
            <w:r>
              <w:rPr>
                <w:lang w:val="es-AR"/>
              </w:rPr>
              <w:t xml:space="preserve"> El almacenamiento adicional a -</w:t>
            </w:r>
            <w:r w:rsidR="00544A0B">
              <w:rPr>
                <w:lang w:val="es-AR"/>
              </w:rPr>
              <w:t>20 ± 5 </w:t>
            </w:r>
            <w:r w:rsidRPr="00C711D8">
              <w:rPr>
                <w:lang w:val="es-AR"/>
              </w:rPr>
              <w:t xml:space="preserve">°C durante hasta 2 </w:t>
            </w:r>
            <w:r w:rsidRPr="00C711D8">
              <w:rPr>
                <w:lang w:val="es-AR"/>
              </w:rPr>
              <w:lastRenderedPageBreak/>
              <w:t xml:space="preserve">semanas, respaldado por los datos de estabilidad de </w:t>
            </w:r>
            <w:r>
              <w:rPr>
                <w:lang w:val="es-AR"/>
              </w:rPr>
              <w:t>varios lotes del medicamento a -</w:t>
            </w:r>
            <w:r w:rsidR="00544A0B">
              <w:rPr>
                <w:lang w:val="es-AR"/>
              </w:rPr>
              <w:t>20 ± 5 </w:t>
            </w:r>
            <w:r w:rsidRPr="00C711D8">
              <w:rPr>
                <w:lang w:val="es-AR"/>
              </w:rPr>
              <w:t>°C, cumple la recomendación de investigar oportunidades de c</w:t>
            </w:r>
            <w:r>
              <w:rPr>
                <w:lang w:val="es-AR"/>
              </w:rPr>
              <w:t>ondiciones de almacenamiento a -</w:t>
            </w:r>
            <w:r w:rsidR="00544A0B">
              <w:rPr>
                <w:lang w:val="es-AR"/>
              </w:rPr>
              <w:t>20 </w:t>
            </w:r>
            <w:r w:rsidRPr="00C711D8">
              <w:rPr>
                <w:lang w:val="es-AR"/>
              </w:rPr>
              <w:t>°C. En cuanto se obtengan datos adicionales, se evaluarán las posibilidades de prolongar el tiempo de almacenamiento en us</w:t>
            </w:r>
            <w:r w:rsidR="00544A0B">
              <w:rPr>
                <w:lang w:val="es-AR"/>
              </w:rPr>
              <w:t>o (antes de la dilución) a 2 </w:t>
            </w:r>
            <w:r>
              <w:rPr>
                <w:lang w:val="es-AR"/>
              </w:rPr>
              <w:t>°C</w:t>
            </w:r>
            <w:r w:rsidR="00544A0B">
              <w:rPr>
                <w:lang w:val="es-AR"/>
              </w:rPr>
              <w:t>–8 </w:t>
            </w:r>
            <w:r w:rsidRPr="00C711D8">
              <w:rPr>
                <w:lang w:val="es-AR"/>
              </w:rPr>
              <w:t>°C y de extender las afirmaciones a las c</w:t>
            </w:r>
            <w:r w:rsidR="00544A0B">
              <w:rPr>
                <w:lang w:val="es-AR"/>
              </w:rPr>
              <w:t>ondiciones de transporte a 2 °C–8 </w:t>
            </w:r>
            <w:r w:rsidRPr="00C711D8">
              <w:rPr>
                <w:lang w:val="es-AR"/>
              </w:rPr>
              <w:t>°C.</w:t>
            </w:r>
          </w:p>
          <w:p w14:paraId="60EDF7D7" w14:textId="77777777" w:rsidR="00C711D8" w:rsidRDefault="00C711D8" w:rsidP="00C711D8">
            <w:pPr>
              <w:pStyle w:val="Ttulo2"/>
              <w:keepLines/>
              <w:spacing w:before="240" w:after="180"/>
              <w:outlineLvl w:val="1"/>
            </w:pPr>
            <w:proofErr w:type="spellStart"/>
            <w:r>
              <w:t>Conclusión</w:t>
            </w:r>
            <w:proofErr w:type="spellEnd"/>
          </w:p>
          <w:p w14:paraId="6F3D484E" w14:textId="4A46F071" w:rsidR="00472318" w:rsidRPr="00CF0B39" w:rsidRDefault="00C711D8" w:rsidP="00CF0B39">
            <w:pPr>
              <w:pStyle w:val="BodyText12"/>
              <w:rPr>
                <w:lang w:val="es-AR"/>
              </w:rPr>
            </w:pPr>
            <w:r w:rsidRPr="00C711D8">
              <w:rPr>
                <w:lang w:val="es-AR"/>
              </w:rPr>
              <w:t>Con el fin de respaldar una condición</w:t>
            </w:r>
            <w:r w:rsidR="00544A0B">
              <w:rPr>
                <w:lang w:val="es-AR"/>
              </w:rPr>
              <w:t xml:space="preserve"> de almacenamiento adicional a -20 ± 5 </w:t>
            </w:r>
            <w:r w:rsidRPr="00C711D8">
              <w:rPr>
                <w:lang w:val="es-AR"/>
              </w:rPr>
              <w:t>°C durante hasta 2 semanas, se presentan hasta 3 meses de datos de estabilidad en la</w:t>
            </w:r>
            <w:r w:rsidR="00544A0B">
              <w:rPr>
                <w:lang w:val="es-AR"/>
              </w:rPr>
              <w:t xml:space="preserve"> condición de almacenamiento a -20 ± 5 </w:t>
            </w:r>
            <w:r w:rsidRPr="00C711D8">
              <w:rPr>
                <w:lang w:val="es-AR"/>
              </w:rPr>
              <w:t>°C de varios lotes del medicamento.</w:t>
            </w:r>
          </w:p>
        </w:tc>
      </w:tr>
    </w:tbl>
    <w:p w14:paraId="273A4F89" w14:textId="00DA78EE" w:rsidR="00BA77C8" w:rsidRPr="00C711D8" w:rsidRDefault="00BA77C8" w:rsidP="00472318">
      <w:pPr>
        <w:jc w:val="center"/>
        <w:rPr>
          <w:rFonts w:cstheme="minorHAnsi"/>
          <w:color w:val="000000" w:themeColor="text1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4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2500"/>
        <w:gridCol w:w="3548"/>
      </w:tblGrid>
      <w:tr w:rsidR="00C32E34" w:rsidRPr="002169F4" w14:paraId="13DCBF8A" w14:textId="77777777" w:rsidTr="00D02692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2500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548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CF0B39" w14:paraId="4E936DDB" w14:textId="77777777" w:rsidTr="00D02692">
        <w:trPr>
          <w:cantSplit/>
          <w:jc w:val="center"/>
        </w:trPr>
        <w:tc>
          <w:tcPr>
            <w:tcW w:w="3024" w:type="dxa"/>
          </w:tcPr>
          <w:p w14:paraId="16ACC2D0" w14:textId="46EB2A46" w:rsidR="00C32E34" w:rsidRPr="002169F4" w:rsidRDefault="00A04F89" w:rsidP="009657B8">
            <w:pPr>
              <w:pStyle w:val="Table-Body"/>
              <w:rPr>
                <w:noProof w:val="0"/>
                <w:lang w:val="en-US"/>
              </w:rPr>
            </w:pPr>
            <w:r>
              <w:t xml:space="preserve">2-8 </w:t>
            </w:r>
            <w:r w:rsidRPr="004305EB">
              <w:t>°</w:t>
            </w:r>
            <w:r>
              <w:t>C</w:t>
            </w:r>
          </w:p>
        </w:tc>
        <w:tc>
          <w:tcPr>
            <w:tcW w:w="2500" w:type="dxa"/>
          </w:tcPr>
          <w:p w14:paraId="7CBA6972" w14:textId="47AB5E9B" w:rsidR="00C32E34" w:rsidRPr="002169F4" w:rsidRDefault="00A04F89" w:rsidP="00A04F89">
            <w:pPr>
              <w:pStyle w:val="Table-Body"/>
              <w:rPr>
                <w:noProof w:val="0"/>
                <w:lang w:val="en-US"/>
              </w:rPr>
            </w:pPr>
            <w:r>
              <w:rPr>
                <w:lang w:val="es-AR"/>
              </w:rPr>
              <w:t>2 °C–8 </w:t>
            </w:r>
            <w:r w:rsidRPr="00C711D8">
              <w:rPr>
                <w:lang w:val="es-AR"/>
              </w:rPr>
              <w:t>°C</w:t>
            </w:r>
          </w:p>
        </w:tc>
        <w:tc>
          <w:tcPr>
            <w:tcW w:w="3548" w:type="dxa"/>
          </w:tcPr>
          <w:p w14:paraId="166C29FC" w14:textId="70EC85AC" w:rsidR="00C32E34" w:rsidRPr="002169F4" w:rsidRDefault="00A04F89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In Spanish, ranges can be expressed with a hyphen </w:t>
            </w:r>
            <w:r>
              <w:rPr>
                <w:lang w:val="en-US"/>
              </w:rPr>
              <w:t>(</w:t>
            </w:r>
            <w:r w:rsidRPr="00A04F89">
              <w:rPr>
                <w:lang w:val="en-US"/>
              </w:rPr>
              <w:t>–</w:t>
            </w:r>
            <w:r w:rsidR="00CF0B39">
              <w:rPr>
                <w:noProof w:val="0"/>
                <w:lang w:val="en-US"/>
              </w:rPr>
              <w:t>) or with prepositions</w:t>
            </w:r>
            <w:r>
              <w:rPr>
                <w:noProof w:val="0"/>
                <w:lang w:val="en-US"/>
              </w:rPr>
              <w:t>. I would like to know the client’s preference to be consistent.</w:t>
            </w:r>
          </w:p>
        </w:tc>
      </w:tr>
      <w:tr w:rsidR="00C32E34" w:rsidRPr="00CF0B39" w14:paraId="4DF1136B" w14:textId="77777777" w:rsidTr="00D02692">
        <w:trPr>
          <w:cantSplit/>
          <w:jc w:val="center"/>
        </w:trPr>
        <w:tc>
          <w:tcPr>
            <w:tcW w:w="3024" w:type="dxa"/>
          </w:tcPr>
          <w:p w14:paraId="08EA4513" w14:textId="0A3E7BBF" w:rsidR="00C32E34" w:rsidRPr="002169F4" w:rsidRDefault="00A04F89" w:rsidP="009657B8">
            <w:pPr>
              <w:pStyle w:val="Table-Body"/>
              <w:rPr>
                <w:noProof w:val="0"/>
                <w:lang w:val="en-US"/>
              </w:rPr>
            </w:pPr>
            <w:r>
              <w:t>(15-JAN-2021)</w:t>
            </w:r>
          </w:p>
        </w:tc>
        <w:tc>
          <w:tcPr>
            <w:tcW w:w="2500" w:type="dxa"/>
          </w:tcPr>
          <w:p w14:paraId="1E68AD91" w14:textId="0CC696EC" w:rsidR="00C32E34" w:rsidRPr="002169F4" w:rsidRDefault="00A04F89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(2021</w:t>
            </w:r>
            <w:r w:rsidR="00732B96">
              <w:rPr>
                <w:noProof w:val="0"/>
                <w:lang w:val="en-US"/>
              </w:rPr>
              <w:t>-01-15</w:t>
            </w:r>
            <w:r>
              <w:rPr>
                <w:noProof w:val="0"/>
                <w:lang w:val="en-US"/>
              </w:rPr>
              <w:t>)</w:t>
            </w:r>
          </w:p>
        </w:tc>
        <w:tc>
          <w:tcPr>
            <w:tcW w:w="3548" w:type="dxa"/>
          </w:tcPr>
          <w:p w14:paraId="30D747FA" w14:textId="5D462E49" w:rsidR="00C32E34" w:rsidRPr="002169F4" w:rsidRDefault="00732B96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For dates, d</w:t>
            </w:r>
            <w:r w:rsidRPr="00732B96">
              <w:rPr>
                <w:noProof w:val="0"/>
                <w:lang w:val="en-US"/>
              </w:rPr>
              <w:t>escending order recommended by the International Organization for Standardization.</w:t>
            </w:r>
            <w:r>
              <w:rPr>
                <w:noProof w:val="0"/>
                <w:lang w:val="en-US"/>
              </w:rPr>
              <w:t xml:space="preserve"> However, the client may have their own preferences. I would like to know which format I should follow.</w:t>
            </w:r>
          </w:p>
        </w:tc>
      </w:tr>
      <w:tr w:rsidR="00C32E34" w:rsidRPr="00A04F89" w14:paraId="0CD05816" w14:textId="77777777" w:rsidTr="00D02692">
        <w:trPr>
          <w:cantSplit/>
          <w:jc w:val="center"/>
        </w:trPr>
        <w:tc>
          <w:tcPr>
            <w:tcW w:w="3024" w:type="dxa"/>
          </w:tcPr>
          <w:p w14:paraId="3482C24B" w14:textId="0D3567E3" w:rsidR="00C32E34" w:rsidRPr="002169F4" w:rsidRDefault="00732B96" w:rsidP="009657B8">
            <w:pPr>
              <w:pStyle w:val="Table-Body"/>
              <w:rPr>
                <w:noProof w:val="0"/>
                <w:lang w:val="en-US"/>
              </w:rPr>
            </w:pPr>
            <w:r w:rsidRPr="00732B96">
              <w:rPr>
                <w:noProof w:val="0"/>
                <w:lang w:val="en-US"/>
              </w:rPr>
              <w:t>2.3.1. Discussion of the Changes</w:t>
            </w:r>
          </w:p>
        </w:tc>
        <w:tc>
          <w:tcPr>
            <w:tcW w:w="2500" w:type="dxa"/>
          </w:tcPr>
          <w:p w14:paraId="17648998" w14:textId="0C88EEEE" w:rsidR="00C32E34" w:rsidRPr="002169F4" w:rsidRDefault="00732B96" w:rsidP="009657B8">
            <w:pPr>
              <w:pStyle w:val="Table-Body"/>
              <w:rPr>
                <w:noProof w:val="0"/>
                <w:lang w:val="en-US"/>
              </w:rPr>
            </w:pPr>
            <w:r w:rsidRPr="00732B96">
              <w:rPr>
                <w:noProof w:val="0"/>
                <w:lang w:val="en-US"/>
              </w:rPr>
              <w:t xml:space="preserve">2.3.3. </w:t>
            </w:r>
            <w:proofErr w:type="spellStart"/>
            <w:r w:rsidRPr="00732B96">
              <w:rPr>
                <w:noProof w:val="0"/>
                <w:lang w:val="en-US"/>
              </w:rPr>
              <w:t>Análisis</w:t>
            </w:r>
            <w:proofErr w:type="spellEnd"/>
            <w:r w:rsidRPr="00732B96">
              <w:rPr>
                <w:noProof w:val="0"/>
                <w:lang w:val="en-US"/>
              </w:rPr>
              <w:t xml:space="preserve"> de </w:t>
            </w:r>
            <w:proofErr w:type="spellStart"/>
            <w:r w:rsidRPr="00732B96">
              <w:rPr>
                <w:noProof w:val="0"/>
                <w:lang w:val="en-US"/>
              </w:rPr>
              <w:t>los</w:t>
            </w:r>
            <w:proofErr w:type="spellEnd"/>
            <w:r w:rsidRPr="00732B96">
              <w:rPr>
                <w:noProof w:val="0"/>
                <w:lang w:val="en-US"/>
              </w:rPr>
              <w:t xml:space="preserve"> </w:t>
            </w:r>
            <w:proofErr w:type="spellStart"/>
            <w:r w:rsidRPr="00732B96">
              <w:rPr>
                <w:noProof w:val="0"/>
                <w:lang w:val="en-US"/>
              </w:rPr>
              <w:t>Cambios</w:t>
            </w:r>
            <w:proofErr w:type="spellEnd"/>
          </w:p>
        </w:tc>
        <w:tc>
          <w:tcPr>
            <w:tcW w:w="3548" w:type="dxa"/>
          </w:tcPr>
          <w:p w14:paraId="06FF579A" w14:textId="6E9BACC5" w:rsidR="00C32E34" w:rsidRPr="002169F4" w:rsidRDefault="00732B96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Although this is not the normalized capitalization usage for Spanish, some clients prefer English capitalization. I would ask the client</w:t>
            </w:r>
            <w:r w:rsidR="00CF0B39">
              <w:rPr>
                <w:noProof w:val="0"/>
                <w:lang w:val="en-US"/>
              </w:rPr>
              <w:t xml:space="preserve"> for</w:t>
            </w:r>
            <w:r>
              <w:rPr>
                <w:noProof w:val="0"/>
                <w:lang w:val="en-US"/>
              </w:rPr>
              <w:t xml:space="preserve"> their preferences.</w:t>
            </w:r>
          </w:p>
        </w:tc>
      </w:tr>
    </w:tbl>
    <w:p w14:paraId="6D7649CD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lastRenderedPageBreak/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0D716C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3CA3AE60" w:rsidR="00C32E34" w:rsidRPr="000D716C" w:rsidRDefault="000D716C" w:rsidP="009657B8">
            <w:pPr>
              <w:pStyle w:val="Table-Body"/>
              <w:rPr>
                <w:rFonts w:cs="Arial"/>
                <w:noProof w:val="0"/>
                <w:sz w:val="22"/>
                <w:szCs w:val="22"/>
                <w:lang w:val="es-AR"/>
              </w:rPr>
            </w:pPr>
            <w:r w:rsidRPr="000D716C">
              <w:rPr>
                <w:rStyle w:val="nfasis"/>
                <w:rFonts w:cs="Arial"/>
                <w:color w:val="000000"/>
                <w:sz w:val="22"/>
                <w:szCs w:val="22"/>
                <w:shd w:val="clear" w:color="auto" w:fill="FFFFFF"/>
                <w:lang w:val="es-AR"/>
              </w:rPr>
              <w:t>Diccionario de términos médicos</w:t>
            </w:r>
            <w:r w:rsidRPr="000D716C">
              <w:rPr>
                <w:rStyle w:val="nfasis"/>
                <w:rFonts w:cs="Arial"/>
                <w:color w:val="000000"/>
                <w:sz w:val="22"/>
                <w:szCs w:val="22"/>
                <w:shd w:val="clear" w:color="auto" w:fill="FFFFFF"/>
                <w:lang w:val="es-AR"/>
              </w:rPr>
              <w:t xml:space="preserve"> de la RAE</w:t>
            </w:r>
            <w:r>
              <w:rPr>
                <w:rStyle w:val="nfasis"/>
                <w:rFonts w:cs="Arial"/>
                <w:color w:val="000000"/>
                <w:sz w:val="22"/>
                <w:szCs w:val="22"/>
                <w:shd w:val="clear" w:color="auto" w:fill="FFFFFF"/>
                <w:lang w:val="es-AR"/>
              </w:rPr>
              <w:t xml:space="preserve"> (2011)</w:t>
            </w:r>
            <w:r w:rsidRPr="000D716C">
              <w:rPr>
                <w:rStyle w:val="nfasis"/>
                <w:rFonts w:cs="Arial"/>
                <w:color w:val="000000"/>
                <w:sz w:val="22"/>
                <w:szCs w:val="22"/>
                <w:shd w:val="clear" w:color="auto" w:fill="FFFFFF"/>
                <w:lang w:val="es-AR"/>
              </w:rPr>
              <w:t xml:space="preserve"> </w:t>
            </w:r>
          </w:p>
        </w:tc>
        <w:tc>
          <w:tcPr>
            <w:tcW w:w="4547" w:type="dxa"/>
          </w:tcPr>
          <w:p w14:paraId="172CAAB7" w14:textId="4C1FCAD8" w:rsidR="00C32E34" w:rsidRPr="000D716C" w:rsidRDefault="000D716C" w:rsidP="009657B8">
            <w:pPr>
              <w:pStyle w:val="Table-Body"/>
              <w:rPr>
                <w:rFonts w:cs="Arial"/>
                <w:noProof w:val="0"/>
                <w:sz w:val="22"/>
                <w:szCs w:val="22"/>
                <w:lang w:val="es-AR"/>
              </w:rPr>
            </w:pPr>
            <w:r>
              <w:rPr>
                <w:rFonts w:cs="Arial"/>
                <w:noProof w:val="0"/>
                <w:sz w:val="22"/>
                <w:szCs w:val="22"/>
                <w:lang w:val="es-AR"/>
              </w:rPr>
              <w:t>General</w:t>
            </w:r>
          </w:p>
        </w:tc>
      </w:tr>
      <w:tr w:rsidR="00C32E34" w:rsidRPr="000D716C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50165A56" w14:textId="291F9346" w:rsidR="000D716C" w:rsidRPr="000D716C" w:rsidRDefault="000D716C" w:rsidP="000D716C">
            <w:pPr>
              <w:pStyle w:val="Table-Body"/>
              <w:rPr>
                <w:rFonts w:cs="Arial"/>
                <w:noProof w:val="0"/>
                <w:sz w:val="22"/>
                <w:szCs w:val="22"/>
                <w:lang w:val="es-AR"/>
              </w:rPr>
            </w:pPr>
            <w:r>
              <w:rPr>
                <w:rFonts w:cs="Arial"/>
                <w:noProof w:val="0"/>
                <w:sz w:val="22"/>
                <w:szCs w:val="22"/>
                <w:lang w:val="es-AR"/>
              </w:rPr>
              <w:t>L</w:t>
            </w:r>
            <w:r w:rsidRPr="000D716C">
              <w:rPr>
                <w:rFonts w:cs="Arial"/>
                <w:noProof w:val="0"/>
                <w:sz w:val="22"/>
                <w:szCs w:val="22"/>
                <w:lang w:val="es-AR"/>
              </w:rPr>
              <w:t>ibro rojo</w:t>
            </w:r>
            <w:r>
              <w:rPr>
                <w:rFonts w:cs="Arial"/>
                <w:noProof w:val="0"/>
                <w:sz w:val="22"/>
                <w:szCs w:val="22"/>
                <w:lang w:val="es-AR"/>
              </w:rPr>
              <w:t xml:space="preserve">: </w:t>
            </w:r>
            <w:r w:rsidRPr="000D716C">
              <w:rPr>
                <w:rFonts w:cs="Arial"/>
                <w:noProof w:val="0"/>
                <w:sz w:val="22"/>
                <w:szCs w:val="22"/>
                <w:lang w:val="es-AR"/>
              </w:rPr>
              <w:t>Diccionario de dudas y dificultades de traducción del inglés médico (3.ª edición)</w:t>
            </w:r>
            <w:r>
              <w:rPr>
                <w:rFonts w:cs="Arial"/>
                <w:noProof w:val="0"/>
                <w:sz w:val="22"/>
                <w:szCs w:val="22"/>
                <w:lang w:val="es-AR"/>
              </w:rPr>
              <w:t xml:space="preserve"> de </w:t>
            </w:r>
            <w:r w:rsidRPr="000D716C">
              <w:rPr>
                <w:rFonts w:cs="Arial"/>
                <w:noProof w:val="0"/>
                <w:sz w:val="22"/>
                <w:szCs w:val="22"/>
                <w:lang w:val="es-AR"/>
              </w:rPr>
              <w:t>Fernando A. Navarro</w:t>
            </w:r>
          </w:p>
          <w:p w14:paraId="721161B8" w14:textId="2E492033" w:rsidR="00C32E34" w:rsidRPr="000D716C" w:rsidRDefault="000D716C" w:rsidP="000D716C">
            <w:pPr>
              <w:pStyle w:val="Table-Body"/>
              <w:rPr>
                <w:rFonts w:cs="Arial"/>
                <w:noProof w:val="0"/>
                <w:sz w:val="22"/>
                <w:szCs w:val="22"/>
                <w:lang w:val="es-AR"/>
              </w:rPr>
            </w:pPr>
            <w:r>
              <w:rPr>
                <w:rFonts w:cs="Arial"/>
                <w:noProof w:val="0"/>
                <w:sz w:val="22"/>
                <w:szCs w:val="22"/>
                <w:lang w:val="es-AR"/>
              </w:rPr>
              <w:t>(</w:t>
            </w:r>
            <w:r w:rsidRPr="000D716C">
              <w:rPr>
                <w:rFonts w:cs="Arial"/>
                <w:noProof w:val="0"/>
                <w:sz w:val="22"/>
                <w:szCs w:val="22"/>
                <w:lang w:val="es-AR"/>
              </w:rPr>
              <w:t>Versión 3.17; marzo de 2021</w:t>
            </w:r>
            <w:r>
              <w:rPr>
                <w:rFonts w:cs="Arial"/>
                <w:noProof w:val="0"/>
                <w:sz w:val="22"/>
                <w:szCs w:val="22"/>
                <w:lang w:val="es-AR"/>
              </w:rPr>
              <w:t>)</w:t>
            </w:r>
          </w:p>
        </w:tc>
        <w:tc>
          <w:tcPr>
            <w:tcW w:w="4547" w:type="dxa"/>
          </w:tcPr>
          <w:p w14:paraId="1FDED4D8" w14:textId="670D771C" w:rsidR="00C32E34" w:rsidRPr="000D716C" w:rsidRDefault="000D716C" w:rsidP="009657B8">
            <w:pPr>
              <w:pStyle w:val="Table-Body"/>
              <w:rPr>
                <w:rFonts w:cs="Arial"/>
                <w:noProof w:val="0"/>
                <w:sz w:val="22"/>
                <w:szCs w:val="22"/>
                <w:lang w:val="es-AR"/>
              </w:rPr>
            </w:pPr>
            <w:r>
              <w:rPr>
                <w:rFonts w:cs="Arial"/>
                <w:noProof w:val="0"/>
                <w:sz w:val="22"/>
                <w:szCs w:val="22"/>
                <w:lang w:val="es-AR"/>
              </w:rPr>
              <w:t>General</w:t>
            </w:r>
          </w:p>
        </w:tc>
      </w:tr>
      <w:tr w:rsidR="000D716C" w:rsidRPr="000D716C" w14:paraId="4F444DB4" w14:textId="77777777" w:rsidTr="009657B8">
        <w:trPr>
          <w:cantSplit/>
          <w:jc w:val="center"/>
        </w:trPr>
        <w:tc>
          <w:tcPr>
            <w:tcW w:w="4525" w:type="dxa"/>
          </w:tcPr>
          <w:p w14:paraId="3838B76C" w14:textId="0A65E1AA" w:rsidR="000D716C" w:rsidRPr="000D716C" w:rsidRDefault="000D716C" w:rsidP="000D716C">
            <w:pPr>
              <w:pStyle w:val="Table-Body"/>
              <w:rPr>
                <w:rFonts w:cs="Arial"/>
                <w:noProof w:val="0"/>
                <w:sz w:val="22"/>
                <w:szCs w:val="22"/>
                <w:lang w:val="en-US"/>
              </w:rPr>
            </w:pPr>
            <w:r w:rsidRPr="000D716C">
              <w:rPr>
                <w:rFonts w:cs="Arial"/>
                <w:b/>
                <w:bCs/>
                <w:color w:val="202122"/>
                <w:sz w:val="22"/>
                <w:szCs w:val="22"/>
                <w:shd w:val="clear" w:color="auto" w:fill="FFFFFF"/>
              </w:rPr>
              <w:t>ISO 8601</w:t>
            </w:r>
            <w:r w:rsidRPr="000D716C">
              <w:rPr>
                <w:rFonts w:cs="Arial"/>
                <w:color w:val="202122"/>
                <w:sz w:val="22"/>
                <w:szCs w:val="22"/>
                <w:shd w:val="clear" w:color="auto" w:fill="FFFFFF"/>
              </w:rPr>
              <w:t> </w:t>
            </w:r>
            <w:r w:rsidRPr="000D716C">
              <w:rPr>
                <w:rFonts w:cs="Arial"/>
                <w:i w:val="0"/>
                <w:iCs/>
                <w:color w:val="202122"/>
                <w:sz w:val="22"/>
                <w:szCs w:val="22"/>
                <w:shd w:val="clear" w:color="auto" w:fill="FFFFFF"/>
              </w:rPr>
              <w:t>Data elements and interchange formats – Information interchange – Representation of dates and times (2019 Update)</w:t>
            </w:r>
          </w:p>
        </w:tc>
        <w:tc>
          <w:tcPr>
            <w:tcW w:w="4547" w:type="dxa"/>
          </w:tcPr>
          <w:p w14:paraId="72E17B4E" w14:textId="02EF4248" w:rsidR="000D716C" w:rsidRPr="000D716C" w:rsidRDefault="000D716C" w:rsidP="009657B8">
            <w:pPr>
              <w:pStyle w:val="Table-Body"/>
              <w:rPr>
                <w:rFonts w:cs="Arial"/>
                <w:noProof w:val="0"/>
                <w:sz w:val="22"/>
                <w:szCs w:val="22"/>
                <w:lang w:val="en-US"/>
              </w:rPr>
            </w:pPr>
            <w:r>
              <w:rPr>
                <w:rFonts w:cs="Arial"/>
                <w:noProof w:val="0"/>
                <w:sz w:val="22"/>
                <w:szCs w:val="22"/>
                <w:lang w:val="en-US"/>
              </w:rPr>
              <w:t>General</w:t>
            </w:r>
          </w:p>
        </w:tc>
      </w:tr>
    </w:tbl>
    <w:p w14:paraId="61F01B2B" w14:textId="77777777" w:rsidR="00C32E34" w:rsidRPr="000D716C" w:rsidRDefault="00C32E34" w:rsidP="00C32E34">
      <w:pPr>
        <w:rPr>
          <w:lang w:val="en-US"/>
        </w:rPr>
      </w:pPr>
    </w:p>
    <w:bookmarkEnd w:id="4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E9DC6" w14:textId="77777777" w:rsidR="004B420A" w:rsidRDefault="004B420A">
      <w:pPr>
        <w:spacing w:after="0" w:line="240" w:lineRule="auto"/>
      </w:pPr>
      <w:r>
        <w:separator/>
      </w:r>
    </w:p>
  </w:endnote>
  <w:endnote w:type="continuationSeparator" w:id="0">
    <w:p w14:paraId="3F28D89F" w14:textId="77777777" w:rsidR="004B420A" w:rsidRDefault="004B4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D19E1" w14:textId="77777777" w:rsidR="00982732" w:rsidRDefault="009827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4B511" w14:textId="77777777" w:rsidR="00742B7C" w:rsidRDefault="006B63B5" w:rsidP="00C8481C">
    <w:pPr>
      <w:pStyle w:val="Piedepgina"/>
      <w:jc w:val="center"/>
    </w:pPr>
    <w:r>
      <w:rPr>
        <w:noProof/>
        <w:lang w:val="en-US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963CB" w14:textId="77777777" w:rsidR="00982732" w:rsidRDefault="009827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25462" w14:textId="77777777" w:rsidR="004B420A" w:rsidRDefault="004B420A">
      <w:pPr>
        <w:spacing w:after="0" w:line="240" w:lineRule="auto"/>
      </w:pPr>
      <w:r>
        <w:separator/>
      </w:r>
    </w:p>
  </w:footnote>
  <w:footnote w:type="continuationSeparator" w:id="0">
    <w:p w14:paraId="4A811532" w14:textId="77777777" w:rsidR="004B420A" w:rsidRDefault="004B4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81CB0" w14:textId="77777777" w:rsidR="00982732" w:rsidRDefault="009827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A9177" w14:textId="57A6F0BC" w:rsidR="00742B7C" w:rsidRDefault="00982732" w:rsidP="00785076">
    <w:pPr>
      <w:pStyle w:val="Encabezado"/>
      <w:jc w:val="right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076" w:rsidRPr="00785076">
      <w:t>POVE01-R2 - 0</w:t>
    </w:r>
  </w:p>
  <w:p w14:paraId="2A0A3661" w14:textId="64D4EC65" w:rsidR="00982732" w:rsidRDefault="00982732" w:rsidP="00742B7C">
    <w:pPr>
      <w:pStyle w:val="Encabezado"/>
      <w:jc w:val="right"/>
    </w:pPr>
  </w:p>
  <w:p w14:paraId="577DD1A1" w14:textId="77777777" w:rsidR="00982732" w:rsidRDefault="00982732" w:rsidP="00742B7C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8C8C8" w14:textId="77777777" w:rsidR="00982732" w:rsidRDefault="009827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5E022CB1"/>
    <w:multiLevelType w:val="singleLevel"/>
    <w:tmpl w:val="32C65642"/>
    <w:lvl w:ilvl="0">
      <w:start w:val="1"/>
      <w:numFmt w:val="bullet"/>
      <w:pStyle w:val="BulletIndent3"/>
      <w:lvlText w:val=""/>
      <w:lvlJc w:val="left"/>
      <w:pPr>
        <w:tabs>
          <w:tab w:val="num" w:pos="922"/>
        </w:tabs>
        <w:ind w:left="288" w:firstLine="274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7C8"/>
    <w:rsid w:val="00010F48"/>
    <w:rsid w:val="000D716C"/>
    <w:rsid w:val="00116259"/>
    <w:rsid w:val="001D5956"/>
    <w:rsid w:val="00222AEE"/>
    <w:rsid w:val="0029735B"/>
    <w:rsid w:val="002B46B3"/>
    <w:rsid w:val="003B4DE8"/>
    <w:rsid w:val="00472318"/>
    <w:rsid w:val="004936AB"/>
    <w:rsid w:val="004B420A"/>
    <w:rsid w:val="00502332"/>
    <w:rsid w:val="00544A0B"/>
    <w:rsid w:val="00594C8B"/>
    <w:rsid w:val="005C4A8E"/>
    <w:rsid w:val="006B63B5"/>
    <w:rsid w:val="00717925"/>
    <w:rsid w:val="00732B96"/>
    <w:rsid w:val="00785076"/>
    <w:rsid w:val="00814892"/>
    <w:rsid w:val="00817C43"/>
    <w:rsid w:val="0083356E"/>
    <w:rsid w:val="00947BA5"/>
    <w:rsid w:val="00970A9B"/>
    <w:rsid w:val="00982732"/>
    <w:rsid w:val="00992EE4"/>
    <w:rsid w:val="009F14F1"/>
    <w:rsid w:val="00A04F89"/>
    <w:rsid w:val="00A605AA"/>
    <w:rsid w:val="00A6385E"/>
    <w:rsid w:val="00A64FA3"/>
    <w:rsid w:val="00A9682A"/>
    <w:rsid w:val="00AD1A1F"/>
    <w:rsid w:val="00B92973"/>
    <w:rsid w:val="00BA1735"/>
    <w:rsid w:val="00BA77C8"/>
    <w:rsid w:val="00C32E34"/>
    <w:rsid w:val="00C43D38"/>
    <w:rsid w:val="00C711D8"/>
    <w:rsid w:val="00CA3D37"/>
    <w:rsid w:val="00CD0F53"/>
    <w:rsid w:val="00CE7801"/>
    <w:rsid w:val="00CF0B39"/>
    <w:rsid w:val="00D02692"/>
    <w:rsid w:val="00E21E4E"/>
    <w:rsid w:val="00E23080"/>
    <w:rsid w:val="00E50F91"/>
    <w:rsid w:val="00ED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2">
    <w:name w:val="BodyText12"/>
    <w:rsid w:val="00C711D8"/>
    <w:pPr>
      <w:spacing w:after="18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BulletIndent3">
    <w:name w:val="Bullet Indent 3 (.)"/>
    <w:semiHidden/>
    <w:rsid w:val="00C711D8"/>
    <w:pPr>
      <w:numPr>
        <w:numId w:val="4"/>
      </w:numPr>
      <w:tabs>
        <w:tab w:val="clear" w:pos="922"/>
        <w:tab w:val="left" w:pos="1714"/>
      </w:tabs>
      <w:spacing w:after="120" w:line="240" w:lineRule="auto"/>
      <w:ind w:left="1714" w:hanging="288"/>
      <w:jc w:val="both"/>
    </w:pPr>
    <w:rPr>
      <w:rFonts w:ascii="Times New Roman" w:eastAsia="Times New Roman" w:hAnsi="Times New Roman" w:cs="Times New Roman"/>
      <w:sz w:val="24"/>
      <w:szCs w:val="20"/>
      <w:lang w:val="nl-BE" w:eastAsia="nl-BE"/>
    </w:rPr>
  </w:style>
  <w:style w:type="character" w:customStyle="1" w:styleId="BlueText">
    <w:name w:val="Blue Text"/>
    <w:rsid w:val="00C711D8"/>
    <w:rPr>
      <w:color w:val="0000FF"/>
    </w:rPr>
  </w:style>
  <w:style w:type="character" w:styleId="nfasis">
    <w:name w:val="Emphasis"/>
    <w:basedOn w:val="Fuentedeprrafopredeter"/>
    <w:uiPriority w:val="20"/>
    <w:qFormat/>
    <w:rsid w:val="000D71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529DAF-E344-4D1B-9C28-F5C2332795F1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9910c2c5-d703-4f0a-a92f-5c93c21fe5c2"/>
    <ds:schemaRef ds:uri="7c46b75b-0270-4f7c-869f-3c0023400dc8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Carolina Baravalle</cp:lastModifiedBy>
  <cp:revision>2</cp:revision>
  <dcterms:created xsi:type="dcterms:W3CDTF">2021-05-12T14:47:00Z</dcterms:created>
  <dcterms:modified xsi:type="dcterms:W3CDTF">2021-05-12T14:47:00Z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