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The goal of this request is to analyze your performance and your potential.</w:t>
      </w:r>
    </w:p>
    <w:p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Breathe in and out, and do your best. Hope we can count on you soon!</w:t>
      </w:r>
    </w:p>
    <w:p>
      <w:pPr>
        <w:rPr>
          <w:rFonts w:cstheme="minorHAnsi"/>
          <w:i/>
          <w:iCs/>
          <w:lang w:val="en-US"/>
        </w:rPr>
      </w:pPr>
    </w:p>
    <w:p>
      <w:pP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SECTION 1. INSTRUCTIONS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spacing w:before="120" w:after="120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Below you will find a special instruction for section 3: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spacing w:before="120" w:after="120"/>
        <w:ind w:firstLine="270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*Please make sure target text mirrors source format.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spacing w:before="120" w:after="120"/>
        <w:ind w:firstLine="270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*Normalize spaces.</w:t>
      </w:r>
    </w:p>
    <w:p>
      <w:pPr>
        <w:rPr>
          <w:rFonts w:cstheme="minorHAnsi"/>
          <w:b/>
          <w:bCs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SECTION 2. GLOSSARY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i/>
          <w:i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  <w:t>In this section, you are required to complete this task: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i/>
          <w:i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cstheme="minorHAnsi"/>
          <w:i/>
          <w:i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  <w:t>*Extract four terms (cells 1 to 4) from the text in Section 3 that you consider are worth being in the glossary.</w:t>
      </w:r>
    </w:p>
    <w:p>
      <w:pPr>
        <w:spacing w:after="0"/>
        <w:rPr>
          <w:rFonts w:cstheme="minorHAnsi"/>
          <w:i/>
          <w:iCs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3510"/>
        <w:gridCol w:w="4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0" w:type="dxa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English</w:t>
            </w:r>
          </w:p>
        </w:tc>
        <w:tc>
          <w:tcPr>
            <w:tcW w:w="4449" w:type="dxa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Spanish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510" w:type="dxa"/>
            <w:vAlign w:val="top"/>
          </w:tcPr>
          <w:p>
            <w:pPr>
              <w:spacing w:after="0" w:line="240" w:lineRule="auto"/>
              <w:rPr>
                <w:rFonts w:hint="default" w:cstheme="minorHAnsi"/>
                <w:color w:val="000000" w:themeColor="text1"/>
                <w:lang w:val="es-AR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default"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ebulized drugs</w:t>
            </w:r>
          </w:p>
        </w:tc>
        <w:tc>
          <w:tcPr>
            <w:tcW w:w="4449" w:type="dxa"/>
            <w:vAlign w:val="top"/>
          </w:tcPr>
          <w:p>
            <w:pPr>
              <w:spacing w:after="0" w:line="240" w:lineRule="auto"/>
              <w:rPr>
                <w:rFonts w:hint="default" w:cstheme="minorHAnsi"/>
                <w:color w:val="000000" w:themeColor="text1"/>
                <w:lang w:val="es-AR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 w:eastAsia="en-US"/>
                <w14:textFill>
                  <w14:solidFill>
                    <w14:schemeClr w14:val="tx1"/>
                  </w14:solidFill>
                </w14:textFill>
              </w:rPr>
              <w:t>Fármacos nebulizados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51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color w:val="000000" w:themeColor="text1"/>
                <w:sz w:val="22"/>
                <w:szCs w:val="22"/>
                <w:lang w:val="es-AR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  <w:t>USP</w:t>
            </w:r>
          </w:p>
        </w:tc>
        <w:tc>
          <w:tcPr>
            <w:tcW w:w="4449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color w:val="000000" w:themeColor="text1"/>
                <w:sz w:val="22"/>
                <w:szCs w:val="22"/>
                <w:lang w:val="es-AR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  <w:t>Farmacopea de Estados Unidos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0" w:line="240" w:lineRule="auto"/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1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color w:val="000000" w:themeColor="text1"/>
                <w:sz w:val="22"/>
                <w:szCs w:val="22"/>
                <w:lang w:val="es-AR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  <w:t>PEEP</w:t>
            </w:r>
          </w:p>
        </w:tc>
        <w:tc>
          <w:tcPr>
            <w:tcW w:w="4449" w:type="dxa"/>
            <w:vAlign w:val="top"/>
          </w:tcPr>
          <w:p>
            <w:pPr>
              <w:spacing w:after="0" w:line="240" w:lineRule="auto"/>
              <w:rPr>
                <w:rFonts w:asciiTheme="minorHAnsi" w:hAnsiTheme="minorHAnsi" w:eastAsiaTheme="minorHAnsi" w:cstheme="minorHAnsi"/>
                <w:color w:val="000000" w:themeColor="text1"/>
                <w:sz w:val="22"/>
                <w:szCs w:val="22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 w:eastAsia="en-US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default" w:cstheme="minorHAnsi"/>
                <w:color w:val="000000" w:themeColor="text1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resión positiva al final de la e</w:t>
            </w:r>
            <w:r>
              <w:rPr>
                <w:rFonts w:hint="default" w:cstheme="minorHAnsi"/>
                <w:color w:val="000000" w:themeColor="text1"/>
                <w:lang w:val="es-AR" w:eastAsia="en-US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default" w:cstheme="minorHAnsi"/>
                <w:color w:val="000000" w:themeColor="text1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piración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1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color w:val="000000" w:themeColor="text1"/>
                <w:sz w:val="22"/>
                <w:szCs w:val="22"/>
                <w:lang w:val="es-AR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sz w:val="22"/>
                <w:szCs w:val="22"/>
                <w:lang w:val="es-AR" w:eastAsia="en-US" w:bidi="ar-SA"/>
                <w14:textFill>
                  <w14:solidFill>
                    <w14:schemeClr w14:val="tx1"/>
                  </w14:solidFill>
                </w14:textFill>
              </w:rPr>
              <w:t>Heated wire</w:t>
            </w:r>
          </w:p>
        </w:tc>
        <w:tc>
          <w:tcPr>
            <w:tcW w:w="4449" w:type="dxa"/>
          </w:tcPr>
          <w:p>
            <w:pPr>
              <w:spacing w:after="0" w:line="240" w:lineRule="auto"/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color w:val="000000" w:themeColor="text1"/>
                <w:lang w:val="es-AR"/>
                <w14:textFill>
                  <w14:solidFill>
                    <w14:schemeClr w14:val="tx1"/>
                  </w14:solidFill>
                </w14:textFill>
              </w:rPr>
              <w:t>Cable calefactor</w:t>
            </w:r>
          </w:p>
        </w:tc>
      </w:tr>
    </w:tbl>
    <w:p>
      <w:pPr>
        <w:rPr>
          <w:rFonts w:cstheme="minorHAnsi"/>
          <w:b/>
          <w:bCs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SECTION 3. TRANSLATION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spacing w:before="120" w:after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Please, translate the following text.</w:t>
      </w:r>
    </w:p>
    <w:p>
      <w:pPr>
        <w:jc w:val="center"/>
        <w:rPr>
          <w:rFonts w:cstheme="minorHAnsi"/>
          <w:b/>
          <w:bCs/>
          <w:i/>
          <w:iCs/>
          <w:color w:val="2F5597" w:themeColor="accent1" w:themeShade="BF"/>
          <w:lang w:val="en-US"/>
        </w:rPr>
      </w:pPr>
      <w:r>
        <w:rPr>
          <w:rFonts w:cstheme="minorHAnsi"/>
          <w:b/>
          <w:bCs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>&lt;Text to translate starts here&gt;</w:t>
      </w:r>
    </w:p>
    <w:p>
      <w:pPr>
        <w:rPr>
          <w:rFonts w:ascii="Helvitica" w:hAnsi="Helvitica"/>
          <w:color w:val="242021"/>
          <w:sz w:val="20"/>
          <w:szCs w:val="20"/>
          <w:lang w:val="en-US"/>
        </w:rPr>
      </w:pPr>
      <w:r>
        <w:rPr>
          <w:rStyle w:val="39"/>
          <w:rFonts w:ascii="Helvitica" w:hAnsi="Helvitica"/>
          <w:sz w:val="20"/>
          <w:szCs w:val="20"/>
          <w:lang w:val="en-US"/>
        </w:rPr>
        <w:t>WARNINGS</w:t>
      </w:r>
      <w:r>
        <w:rPr>
          <w:rFonts w:ascii="Helvitica" w:hAnsi="Helvitica"/>
          <w:b/>
          <w:bCs/>
          <w:color w:val="242021"/>
          <w:sz w:val="20"/>
          <w:szCs w:val="20"/>
          <w:lang w:val="en-US"/>
        </w:rPr>
        <w:br w:type="textWrapping"/>
      </w:r>
      <w:r>
        <w:rPr>
          <w:rStyle w:val="40"/>
          <w:rFonts w:ascii="Helvitica" w:hAnsi="Helvitica"/>
          <w:sz w:val="20"/>
          <w:szCs w:val="20"/>
          <w:lang w:val="en-US"/>
        </w:rPr>
        <w:t>• DO NOT reuse this product. Reuse may result in transmission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 </w:t>
      </w:r>
      <w:r>
        <w:rPr>
          <w:rStyle w:val="40"/>
          <w:rFonts w:ascii="Helvitica" w:hAnsi="Helvitica"/>
          <w:sz w:val="20"/>
          <w:szCs w:val="20"/>
          <w:lang w:val="en-US"/>
        </w:rPr>
        <w:t>of infectious substances, interruption to treatment, serious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 </w:t>
      </w:r>
      <w:r>
        <w:rPr>
          <w:rStyle w:val="40"/>
          <w:rFonts w:ascii="Helvitica" w:hAnsi="Helvitica"/>
          <w:sz w:val="20"/>
          <w:szCs w:val="20"/>
          <w:lang w:val="en-US"/>
        </w:rPr>
        <w:t>harm or death.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Style w:val="40"/>
          <w:rFonts w:ascii="Helvitica" w:hAnsi="Helvitica"/>
          <w:sz w:val="20"/>
          <w:szCs w:val="20"/>
          <w:lang w:val="en-US"/>
        </w:rPr>
        <w:t>• The use of breathing circuits, chambers, accessories, or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 </w:t>
      </w:r>
      <w:r>
        <w:rPr>
          <w:rStyle w:val="40"/>
          <w:rFonts w:ascii="Helvitica" w:hAnsi="Helvitica"/>
          <w:sz w:val="20"/>
          <w:szCs w:val="20"/>
          <w:lang w:val="en-US"/>
        </w:rPr>
        <w:t>combinations which are not approved by F&amp;PH may result in poor humidification system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 </w:t>
      </w:r>
      <w:r>
        <w:rPr>
          <w:rStyle w:val="40"/>
          <w:rFonts w:ascii="Helvitica" w:hAnsi="Helvitica"/>
          <w:sz w:val="20"/>
          <w:szCs w:val="20"/>
          <w:lang w:val="en-US"/>
        </w:rPr>
        <w:t>performance, ventilator malfunction and harm to the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 </w:t>
      </w:r>
      <w:r>
        <w:rPr>
          <w:rStyle w:val="40"/>
          <w:rFonts w:ascii="Helvitica" w:hAnsi="Helvitica"/>
          <w:sz w:val="20"/>
          <w:szCs w:val="20"/>
          <w:lang w:val="en-US"/>
        </w:rPr>
        <w:t>patient/user.</w:t>
      </w:r>
      <w:r>
        <w:rPr>
          <w:rStyle w:val="40"/>
          <w:rFonts w:ascii="Helvitica" w:hAnsi="Helvitica"/>
          <w:sz w:val="20"/>
          <w:szCs w:val="20"/>
          <w:lang w:val="en-US"/>
        </w:rPr>
        <w:br w:type="textWrapping"/>
      </w:r>
      <w:r>
        <w:rPr>
          <w:rStyle w:val="40"/>
          <w:rFonts w:ascii="Helvitica" w:hAnsi="Helvitica"/>
          <w:sz w:val="20"/>
          <w:szCs w:val="20"/>
          <w:lang w:val="en-US"/>
        </w:rPr>
        <w:t xml:space="preserve">• 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Appropriate patient monitoring (e.g., oxygen saturation) must be used at all times. Failure to monitor the patient (e.g., in the event of an interruption to gas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ow) may result in serious harm or death.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touch heater plate or chamber base. Surfaces may exceed 85°C. Failure to comply may result in a skin burn.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b/>
          <w:bCs/>
          <w:color w:val="242021"/>
          <w:sz w:val="20"/>
          <w:szCs w:val="20"/>
          <w:lang w:val="en-US"/>
        </w:rPr>
        <w:t>Failure to comply with any of the following warnings may impair performance of the device or compromise safety (including potentially causing serious harm):</w:t>
      </w:r>
      <w:r>
        <w:rPr>
          <w:rFonts w:ascii="Helvitica" w:hAnsi="Helvitica"/>
          <w:b/>
          <w:bCs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When mounting a humidifier adjacent to a patient, ensure that the humidifier is always positioned lower than the patient.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use beyond 7 days maximum duration of use.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cover the circuit with materials such as blankets, towels or bed linen.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stretch or milk the tubing.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soak, wash, or sterilize this product. Avoid contact with chemicals, cleaning agents, or hand sanitizers.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use the chamber if the water level rises above the maximum water level line.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use the chamber if the seals are not intact when received, or if it has been dropped.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operate the chamber at an angle in excess of 10°.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• DO NOT spike the water source until the blue caps have been removed. Should the primary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oat fail, splashing into the circuit may occur if the chamber is being operated in excess of 80 L/min.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Visually inspect breathing sets for damage (e.g., a crushed tube or cracked connector) before use and replace if damaged.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The water source must be at least 50 cm higher than the chamber.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• DO NOT use heated wire breathing circuits without gas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ow. If gas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ow is interrupted, turn the humidifier o</w:t>
      </w:r>
      <w:r>
        <w:rPr>
          <w:rFonts w:ascii="Helvitica" w:hAnsi="Helvitica"/>
          <w:color w:val="242021"/>
          <w:sz w:val="20"/>
          <w:szCs w:val="20"/>
        </w:rPr>
        <w:t>ﬀ</w:t>
      </w:r>
      <w:r>
        <w:rPr>
          <w:rFonts w:ascii="Helvitica" w:hAnsi="Helvitica"/>
          <w:color w:val="242021"/>
          <w:sz w:val="20"/>
          <w:szCs w:val="20"/>
          <w:lang w:val="en-US"/>
        </w:rPr>
        <w:t>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Ensure there is a water supply connected to the chamber and that water is present within the chamber.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fill the chamber with water in excess of 37°C.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• When nebulized drugs are used, resistance to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ow should be monitored and the filter replaced, following standard hospital procedure.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Change filter every 24 hours or sooner if noticeable deterioration/build-up occurs, following standard hospital procedure.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• Ensure appropriate ventilator or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ow source alarms are set before connecting breathing set to patient.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Avoid prolonged contact of heated tubes with patient’s skin.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Perform a pressure and leak test on the breathing system and check for occlusions before connection to a patient.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Use USP Sterile Water For Inhalation or equivalent for humidification. DO NOT add other substances to the water.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Regularly monitor and drain condensate build-up in the circuit.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Check all connections are tight before use.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Check that the heater wire is evenly distributed along the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circuit and not bunched or kinked.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Remove all packaging before use.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Possible side e</w:t>
      </w:r>
      <w:r>
        <w:rPr>
          <w:rFonts w:hint="default" w:ascii="Helvitica" w:hAnsi="Helvitica"/>
          <w:color w:val="242021"/>
          <w:sz w:val="20"/>
          <w:szCs w:val="20"/>
          <w:lang w:val="es-AR"/>
        </w:rPr>
        <w:t>ffe</w:t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cts of administered PEEP may include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uid retention, pneumothorax, decreased cardiac output and gastric distention.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Always monitor airway pressure when administering PEEP.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Always monitor the patient condition when delivering PEEP.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Do not attempt to disassemble the valve as it will damage the components.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California residents please be advised of the following, pursuant to Proposition 65: This product contains chemicals known to the State of California to cause cancer, birth defects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and other reproductive harm. For more information, please visit: www.fphcare.com/prop65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b/>
          <w:bCs/>
          <w:color w:val="242021"/>
          <w:sz w:val="20"/>
          <w:szCs w:val="20"/>
          <w:lang w:val="en-US"/>
        </w:rPr>
        <w:t>NOTES</w:t>
      </w:r>
      <w:r>
        <w:rPr>
          <w:rFonts w:ascii="Helvitica" w:hAnsi="Helvitica"/>
          <w:b/>
          <w:bCs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For use under the supervision of trained medical personnel.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 xml:space="preserve">• Dispose of product according to appropriate hospital protocol. User may be exposed to breathing tract </w:t>
      </w:r>
      <w:r>
        <w:rPr>
          <w:rFonts w:ascii="Helvitica" w:hAnsi="Helvitica"/>
          <w:color w:val="242021"/>
          <w:sz w:val="20"/>
          <w:szCs w:val="20"/>
        </w:rPr>
        <w:t>ﬂ</w:t>
      </w:r>
      <w:r>
        <w:rPr>
          <w:rFonts w:ascii="Helvitica" w:hAnsi="Helvitica"/>
          <w:color w:val="242021"/>
          <w:sz w:val="20"/>
          <w:szCs w:val="20"/>
          <w:lang w:val="en-US"/>
        </w:rPr>
        <w:t>uids during disposal.</w:t>
      </w:r>
      <w:r>
        <w:rPr>
          <w:rFonts w:ascii="Helvitica" w:hAnsi="Helvitica"/>
          <w:color w:val="242021"/>
          <w:sz w:val="20"/>
          <w:szCs w:val="20"/>
          <w:lang w:val="en-US"/>
        </w:rPr>
        <w:br w:type="textWrapping"/>
      </w:r>
      <w:r>
        <w:rPr>
          <w:rFonts w:ascii="Helvitica" w:hAnsi="Helvitica"/>
          <w:color w:val="242021"/>
          <w:sz w:val="20"/>
          <w:szCs w:val="20"/>
          <w:lang w:val="en-US"/>
        </w:rPr>
        <w:t>• The responsible organization is accountable for the compatibility of the humidifier and all of the parts and accessories used to connect to the patient and other equipment before use.</w:t>
      </w:r>
    </w:p>
    <w:p>
      <w:pPr>
        <w:jc w:val="center"/>
        <w:rPr>
          <w:rFonts w:ascii="Helvitica" w:hAnsi="Helvitica"/>
          <w:sz w:val="20"/>
          <w:szCs w:val="20"/>
          <w:lang w:val="en-US"/>
        </w:rPr>
      </w:pPr>
    </w:p>
    <w:p>
      <w:pPr>
        <w:jc w:val="center"/>
        <w:rPr>
          <w:rFonts w:cstheme="minorHAnsi"/>
          <w:b/>
          <w:bCs/>
          <w:i/>
          <w:iCs/>
          <w:color w:val="2F5597" w:themeColor="accent1" w:themeShade="BF"/>
          <w:lang w:val="en-US"/>
        </w:rPr>
      </w:pP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>&lt;Text to translate ends here&gt;</w:t>
      </w:r>
    </w:p>
    <w:p>
      <w:pPr>
        <w:jc w:val="center"/>
        <w:rPr>
          <w:rFonts w:cstheme="minorHAnsi"/>
          <w:b/>
          <w:bCs/>
          <w:i/>
          <w:iCs/>
          <w:color w:val="2F5597" w:themeColor="accent1" w:themeShade="BF"/>
          <w:lang w:val="en-US"/>
        </w:rPr>
      </w:pPr>
    </w:p>
    <w:p>
      <w:pPr>
        <w:jc w:val="center"/>
        <w:rPr>
          <w:rFonts w:hint="default" w:cstheme="minorHAnsi"/>
          <w:b/>
          <w:bCs/>
          <w:i/>
          <w:iCs/>
          <w:color w:val="2F5597" w:themeColor="accent1" w:themeShade="BF"/>
          <w:lang w:val="es-AR"/>
        </w:rPr>
      </w:pP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>&lt;T</w:t>
      </w:r>
      <w:r>
        <w:rPr>
          <w:rFonts w:hint="default" w:cstheme="minorHAnsi"/>
          <w:b/>
          <w:bCs/>
          <w:i/>
          <w:iCs/>
          <w:color w:val="2F5597" w:themeColor="accent1" w:themeShade="BF"/>
          <w:lang w:val="es-AR"/>
        </w:rPr>
        <w:t>ranslated text</w:t>
      </w: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 xml:space="preserve"> starts here&gt;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b/>
          <w:bCs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b/>
          <w:bCs/>
          <w:i w:val="0"/>
          <w:color w:val="242021"/>
          <w:sz w:val="20"/>
          <w:szCs w:val="20"/>
          <w:lang w:val="en-US" w:eastAsia="en-US" w:bidi="ar-SA"/>
        </w:rPr>
        <w:t>ADVERTENCIAS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NO reutilice este producto. La reutilización puede provocar la transmisión de sustancias infecciosas, la interrupción del tratamiento, daños graves o la muerte.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El uso de circuitos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respiratorios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, cámaras, accesorios o combinaciones que no estén aprobados por F&amp;PH puede resultar en un rendimi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ento deficiente del sistema de humidificación, mal funcionamiento del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respir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ador y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también puede causarle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daños al paciente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/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usuario.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Se debe monitor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ear 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l paciente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de forma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adecuada (p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or ejemplo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,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la s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aturación de oxígeno)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en todo momento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. No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hacerlo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(por ejemplo, en el caso de una interrupción del flujo de gas) puede resultar en lesiones graves o la muerte.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NO toque la placa calefactora o la base de la cámara. Las superficies pueden superar los 85 °C. El incumplimiento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de esta advertencia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puede provocar quemaduras en la piel.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b/>
          <w:bCs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b/>
          <w:bCs/>
          <w:i w:val="0"/>
          <w:sz w:val="20"/>
          <w:szCs w:val="20"/>
          <w:lang w:val="en-US" w:eastAsia="en-US" w:bidi="ar-SA"/>
        </w:rPr>
        <w:t>El incumplimiento de cualquiera de las siguientes advertencias puede afectar el rendimiento del dispositivo o comprometer la seguridad (incluso causar daños graves):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s-AR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Al montar un humidificador junto a un pacient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  <w:t>e,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s-AR" w:eastAsia="en-US" w:bidi="ar-SA"/>
        </w:rPr>
        <w:t xml:space="preserve"> se debe asegurar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  <w:t xml:space="preserve"> de que el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s-AR" w:eastAsia="en-US" w:bidi="ar-SA"/>
        </w:rPr>
        <w:t xml:space="preserve">dispositivo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  <w:t>esté siempre situado por debajo del paciente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s-AR" w:eastAsia="en-US" w:bidi="ar-SA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  <w:t xml:space="preserve">• NO lo use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s-AR" w:eastAsia="en-US" w:bidi="ar-SA"/>
        </w:rPr>
        <w:t>después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/>
          <w:sz w:val="20"/>
          <w:szCs w:val="20"/>
          <w:lang w:val="en-US" w:eastAsia="en-US" w:bidi="ar-SA"/>
        </w:rPr>
        <w:t xml:space="preserve"> de los 7 días de duración máxima de uso.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NO cubra el circuito con materiales como mantas, toallas o ropa de cama.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NO estire ni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exprima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el tubo.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NO remoje, lave ni esterilice este producto. Evite el contacto con productos químicos,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productos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de limpieza o desinfectantes para manos.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NO use la cámara si el nivel del agua se eleva por encima de la línea de nivel máximo de agua.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NO use la cámara si los sellos no están intactos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al momento de recibirla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o si se ha caído.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NO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haga funcionar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la cámara en un ángulo superior a 10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grados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NO pinche la fuente de agua hasta que se hayan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extraído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l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s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casquete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>s azules.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Si falla el flotador primario, pueden ocurrir salpicaduras en el circuito si la cámara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trabaja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a más de 80 L / min.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Inspeccione visualmente los equipos de respiración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para detectar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daños (por ejemplo, un tubo aplastado o un conector roto) antes de usarlos y reemplácelos si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se encuentran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dañados.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La fuente de agua debe estar al menos 50 cm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por encima de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la cámara.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NO us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e circuitos respiratorios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con cable calefactor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 sin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flujo de gas. Si se interrumpe el flujo de gas, apague el humidificador.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Verifique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que haya un suministro de agua conectado a la cámara y que haya agua dentro de la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misma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NO llene la cámara con agua a más de 37 °C.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Cuand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o se usan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fármacos nebulizados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, se debe monitorear la resistencia al flujo y reemplazar el filtro, siguiendo el procedimiento estándar del hospital.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Cambie el filtro cada 24 horas o antes si se produce un deterioro/acumulación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evidente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, siguiendo el procedimiento estándar del hospital.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Verifique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que las alarmas del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respira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dor o de la fuente de flujo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 adecuadas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estén configuradas antes de conectar el equipo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respiratorio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al paciente.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Evite el contacto prolongado de los tubos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térmicos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con la piel del paciente.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Realice una prueba de presión y fuga en el sistema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respiratorio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y verifique si hay oclusiones antes de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conectar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a un paciente.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Use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A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gua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E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>st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éril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 para 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I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>nhalación de la Farmacopea de Estados Unidos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 xml:space="preserve"> (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>USP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s-AR" w:eastAsia="en-US" w:bidi="ar-SA"/>
        </w:rPr>
        <w:t>)</w:t>
      </w:r>
      <w:r>
        <w:rPr>
          <w:rStyle w:val="40"/>
          <w:rFonts w:hint="default" w:ascii="Helvitica" w:hAnsi="Helvitica" w:eastAsiaTheme="minorHAnsi" w:cstheme="minorBidi"/>
          <w:b w:val="0"/>
          <w:bCs w:val="0"/>
          <w:i w:val="0"/>
          <w:iCs w:val="0"/>
          <w:sz w:val="20"/>
          <w:szCs w:val="20"/>
          <w:lang w:val="en-US" w:eastAsia="en-US" w:bidi="ar-SA"/>
        </w:rPr>
        <w:t xml:space="preserve"> 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un producto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equivalente para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la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humidificación. NO agregue otras sustancias al agua.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• Controle y drene periódicamente la acumulación de condensado en el circuito.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Verifique que todas las conexiones estén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ajusta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das antes de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su uso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• Verifique que el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>cable calefactor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 xml:space="preserve"> esté distribuido uniformemente a lo largo del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n-US" w:eastAsia="en-US" w:bidi="ar-SA"/>
        </w:rPr>
        <w:t>circuito y</w:t>
      </w:r>
      <w:r>
        <w:rPr>
          <w:rStyle w:val="40"/>
          <w:rFonts w:hint="default" w:ascii="Helvitica" w:hAnsi="Helvitica" w:eastAsiaTheme="minorHAnsi" w:cstheme="minorBidi"/>
          <w:i w:val="0"/>
          <w:sz w:val="20"/>
          <w:szCs w:val="20"/>
          <w:lang w:val="es-AR" w:eastAsia="en-US" w:bidi="ar-SA"/>
        </w:rPr>
        <w:t xml:space="preserve"> q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ue no esté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enrollado ni apiñado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Retire todo el embalaje antes de su uso.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Los posibles efectos secundarios de la presión positiva al final de la e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x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piración (PEEP) administrada pueden incluir retención de líquidos, neumotórax, disminución del gasto cardíaco y distensión gástrica.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Siempre controle la presión de las vías respiratorias cuando administre PEEP.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Siempre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supervise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el estado del paciente al administrar PEEP.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No intente desmontar la válvula ya que dañará los componentes.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Los residentes de California deben tener en cuenta lo siguiente, e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n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conformidad con la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p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rop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uesta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 65: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>e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ste producto contiene sustancias químicas que el estado de California reconoce como causantes de cáncer, defectos de nacimiento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y otros daños reproductivos. Para obtener más información, visite: www.fphcare.com/prop65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b/>
          <w:bCs/>
          <w:i w:val="0"/>
          <w:color w:val="242021"/>
          <w:sz w:val="20"/>
          <w:szCs w:val="20"/>
          <w:lang w:val="es-AR" w:eastAsia="en-US" w:bidi="ar-SA"/>
        </w:rPr>
      </w:pPr>
      <w:r>
        <w:rPr>
          <w:rFonts w:hint="default" w:ascii="Helvitica" w:hAnsi="Helvitica" w:eastAsiaTheme="minorHAnsi" w:cstheme="minorBidi"/>
          <w:b/>
          <w:bCs/>
          <w:i w:val="0"/>
          <w:color w:val="242021"/>
          <w:sz w:val="20"/>
          <w:szCs w:val="20"/>
          <w:lang w:val="es-AR" w:eastAsia="en-US" w:bidi="ar-SA"/>
        </w:rPr>
        <w:t>OBSERVACIONES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Para uso bajo la supervisión de personal médico capacitado.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• Deseche el producto de acuerdo con el protocolo hospitalario apropiado. El usuario puede estar expuesto a inhalar fluidos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durante la eliminación.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120" w:after="120" w:line="240" w:lineRule="auto"/>
        <w:ind w:left="0" w:leftChars="0" w:firstLine="0" w:firstLineChars="0"/>
        <w:textAlignment w:val="auto"/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</w:pP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• La organización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competente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es responsable de la compatibilidad del humidificador y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de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 xml:space="preserve">todas las piezas y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s-AR" w:eastAsia="en-US" w:bidi="ar-SA"/>
        </w:rPr>
        <w:t xml:space="preserve">los </w:t>
      </w:r>
      <w:r>
        <w:rPr>
          <w:rFonts w:hint="default" w:ascii="Helvitica" w:hAnsi="Helvitica" w:eastAsiaTheme="minorHAnsi" w:cstheme="minorBidi"/>
          <w:i w:val="0"/>
          <w:color w:val="242021"/>
          <w:sz w:val="20"/>
          <w:szCs w:val="20"/>
          <w:lang w:val="en-US" w:eastAsia="en-US" w:bidi="ar-SA"/>
        </w:rPr>
        <w:t>accesorios utilizados para conectar al paciente y otros equipos antes de su uso.</w:t>
      </w:r>
    </w:p>
    <w:p>
      <w:pPr>
        <w:jc w:val="center"/>
        <w:rPr>
          <w:rFonts w:cstheme="minorHAnsi"/>
          <w:b/>
          <w:bCs/>
          <w:i/>
          <w:iCs/>
          <w:color w:val="2F5597" w:themeColor="accent1" w:themeShade="BF"/>
          <w:lang w:val="en-US"/>
        </w:rPr>
      </w:pP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>&lt;T</w:t>
      </w:r>
      <w:r>
        <w:rPr>
          <w:rFonts w:hint="default" w:cstheme="minorHAnsi"/>
          <w:b/>
          <w:bCs/>
          <w:i/>
          <w:iCs/>
          <w:color w:val="2F5597" w:themeColor="accent1" w:themeShade="BF"/>
          <w:lang w:val="es-AR"/>
        </w:rPr>
        <w:t>ranslated text</w:t>
      </w:r>
      <w:r>
        <w:rPr>
          <w:rFonts w:cstheme="minorHAnsi"/>
          <w:b/>
          <w:bCs/>
          <w:i/>
          <w:iCs/>
          <w:color w:val="2F5597" w:themeColor="accent1" w:themeShade="BF"/>
          <w:lang w:val="en-US"/>
        </w:rPr>
        <w:t xml:space="preserve"> ends here&gt;</w:t>
      </w:r>
    </w:p>
    <w:p>
      <w:pPr>
        <w:rPr>
          <w:rFonts w:hint="default" w:ascii="Helvitica" w:hAnsi="Helvitica"/>
          <w:color w:val="242021"/>
          <w:sz w:val="20"/>
          <w:szCs w:val="20"/>
          <w:lang w:val="es-AR"/>
        </w:rPr>
      </w:pPr>
    </w:p>
    <w:p>
      <w:pP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bookmarkStart w:id="0" w:name="_Hlk40946237"/>
      <w:r>
        <w:rPr>
          <w:rFonts w:cstheme="minorHAns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SECTION 4. QUESTIONS AND COMMENTS</w:t>
      </w:r>
    </w:p>
    <w:p>
      <w:pPr>
        <w:pStyle w:val="21"/>
        <w:pBdr>
          <w:top w:val="single" w:color="auto" w:sz="4" w:space="0"/>
        </w:pBd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We also need to check your capacity to spot potential issues beforehand.</w:t>
      </w:r>
    </w:p>
    <w:p>
      <w:pPr>
        <w:pStyle w:val="21"/>
        <w:pBdr>
          <w:top w:val="single" w:color="auto" w:sz="4" w:space="0"/>
        </w:pBd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In the table below, please list your questions and comments in relation with this test: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1. Challenging sections from the source text or sections you are unsure of should be copied or inserted into the </w:t>
      </w:r>
      <w:r>
        <w:rPr>
          <w:rFonts w:asciiTheme="minorHAnsi" w:hAnsiTheme="minorHAnsi" w:cstheme="minorHAnsi"/>
          <w:b/>
          <w:bCs/>
          <w:sz w:val="20"/>
          <w:lang w:val="en-US"/>
        </w:rPr>
        <w:t>Source Text</w:t>
      </w:r>
      <w:r>
        <w:rPr>
          <w:rFonts w:asciiTheme="minorHAnsi" w:hAnsiTheme="minorHAnsi" w:cstheme="minorHAnsi"/>
          <w:sz w:val="20"/>
          <w:lang w:val="en-US"/>
        </w:rPr>
        <w:t xml:space="preserve"> column.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2. Write your translation in the </w:t>
      </w:r>
      <w:r>
        <w:rPr>
          <w:rFonts w:asciiTheme="minorHAnsi" w:hAnsiTheme="minorHAnsi" w:cstheme="minorHAnsi"/>
          <w:b/>
          <w:bCs/>
          <w:sz w:val="20"/>
          <w:lang w:val="en-US"/>
        </w:rPr>
        <w:t>Target Text</w:t>
      </w:r>
      <w:r>
        <w:rPr>
          <w:rFonts w:asciiTheme="minorHAnsi" w:hAnsiTheme="minorHAnsi" w:cstheme="minorHAnsi"/>
          <w:sz w:val="20"/>
          <w:lang w:val="en-US"/>
        </w:rPr>
        <w:t xml:space="preserve"> column.</w:t>
      </w:r>
    </w:p>
    <w:p>
      <w:pPr>
        <w:pStyle w:val="19"/>
        <w:numPr>
          <w:ilvl w:val="0"/>
          <w:numId w:val="0"/>
        </w:numPr>
        <w:pBdr>
          <w:top w:val="single" w:color="auto" w:sz="4" w:space="0"/>
        </w:pBd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3. Doubts and comments should be written in English.</w:t>
      </w:r>
    </w:p>
    <w:p>
      <w:pPr>
        <w:rPr>
          <w:rFonts w:cstheme="minorHAns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3024"/>
        <w:gridCol w:w="3024"/>
        <w:gridCol w:w="3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>
            <w:pPr>
              <w:pStyle w:val="2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 w:type="textWrapping"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>
            <w:pPr>
              <w:pStyle w:val="2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 w:type="textWrapping"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>
            <w:pPr>
              <w:pStyle w:val="2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Question / Comment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 w:type="textWrapping"/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(in English)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3024" w:type="dxa"/>
          </w:tcPr>
          <w:p>
            <w:pPr>
              <w:pStyle w:val="22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heated wire breathing circuits</w:t>
            </w:r>
          </w:p>
        </w:tc>
        <w:tc>
          <w:tcPr>
            <w:tcW w:w="3024" w:type="dxa"/>
          </w:tcPr>
          <w:p>
            <w:pPr>
              <w:pStyle w:val="22"/>
              <w:rPr>
                <w:rFonts w:hint="default"/>
                <w:lang w:val="en-US"/>
              </w:rPr>
            </w:pPr>
            <w:r>
              <w:rPr>
                <w:rFonts w:hint="default"/>
                <w:lang w:val="en-US" w:eastAsia="en-US"/>
              </w:rPr>
              <w:t xml:space="preserve">circuitos respiratorios </w:t>
            </w:r>
            <w:r>
              <w:rPr>
                <w:rFonts w:hint="default"/>
                <w:lang w:val="es-AR" w:eastAsia="en-US"/>
              </w:rPr>
              <w:t>con cable calefactor</w:t>
            </w:r>
          </w:p>
        </w:tc>
        <w:tc>
          <w:tcPr>
            <w:tcW w:w="3024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 xml:space="preserve">This was a challenging segment because a deep research was needed to be done in order to figure it out.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3024" w:type="dxa"/>
          </w:tcPr>
          <w:p>
            <w:pPr>
              <w:pStyle w:val="22"/>
              <w:rPr>
                <w:lang w:val="en-US"/>
              </w:rPr>
            </w:pPr>
            <w:r>
              <w:rPr>
                <w:rFonts w:hint="default"/>
                <w:lang w:val="en-US"/>
              </w:rPr>
              <w:t>nebulized drugs</w:t>
            </w:r>
          </w:p>
        </w:tc>
        <w:tc>
          <w:tcPr>
            <w:tcW w:w="3024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 w:eastAsia="en-US"/>
              </w:rPr>
              <w:t>fármacos nebulizados</w:t>
            </w:r>
          </w:p>
        </w:tc>
        <w:tc>
          <w:tcPr>
            <w:tcW w:w="3024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This was also a complicated segment to translate due to the ambiguity of the term “drugs.”</w:t>
            </w:r>
          </w:p>
        </w:tc>
      </w:tr>
    </w:tbl>
    <w:p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rFonts w:cstheme="minorHAnsi"/>
          <w:b/>
          <w:bCs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cstheme="minorHAnsi"/>
          <w:b/>
          <w:bCs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>SECTION 5. REFERENCES</w:t>
      </w:r>
    </w:p>
    <w:p>
      <w:pPr>
        <w:pStyle w:val="21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In the table below, please list the reference material you have consulted to carry out this test.</w:t>
      </w:r>
    </w:p>
    <w:p>
      <w:pPr>
        <w:pStyle w:val="19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Please introduce the </w:t>
      </w:r>
      <w:r>
        <w:rPr>
          <w:rFonts w:asciiTheme="minorHAnsi" w:hAnsiTheme="minorHAnsi" w:cstheme="minorHAnsi"/>
          <w:b/>
          <w:bCs/>
          <w:sz w:val="20"/>
          <w:lang w:val="en-US"/>
        </w:rPr>
        <w:t>Reference source</w:t>
      </w:r>
      <w:r>
        <w:rPr>
          <w:rFonts w:asciiTheme="minorHAnsi" w:hAnsiTheme="minorHAnsi" w:cstheme="minorHAnsi"/>
          <w:sz w:val="20"/>
          <w:lang w:val="en-US"/>
        </w:rPr>
        <w:t xml:space="preserve"> (including publisher and full title as appropriate) in the first column. </w:t>
      </w:r>
    </w:p>
    <w:p>
      <w:pPr>
        <w:pStyle w:val="19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Specify if your reference source is general or specific. If specific, clarify which term or section the reference covers. </w:t>
      </w:r>
    </w:p>
    <w:p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4525"/>
        <w:gridCol w:w="4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>
            <w:pPr>
              <w:pStyle w:val="2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>
            <w:pPr>
              <w:pStyle w:val="2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General / Specific (Term)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4525" w:type="dxa"/>
          </w:tcPr>
          <w:p>
            <w:pPr>
              <w:pStyle w:val="22"/>
              <w:rPr>
                <w:lang w:val="en-US"/>
              </w:rPr>
            </w:pPr>
            <w:r>
              <w:rPr>
                <w:lang w:val="en-US"/>
              </w:rPr>
              <w:t>Dictionary of Doubts and Difficulties in English-Spanish Medical Translation</w:t>
            </w:r>
            <w:r>
              <w:rPr>
                <w:rFonts w:hint="default"/>
                <w:lang w:val="en-US"/>
              </w:rPr>
              <w:br w:type="textWrapping"/>
            </w:r>
            <w:r>
              <w:rPr>
                <w:rFonts w:hint="default"/>
                <w:lang w:val="en-US"/>
              </w:rPr>
              <w:t>Fernando A. Navarro</w:t>
            </w:r>
          </w:p>
        </w:tc>
        <w:tc>
          <w:tcPr>
            <w:tcW w:w="4547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General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4525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Spanish dictionary</w:t>
            </w:r>
          </w:p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Real Academia Española</w:t>
            </w:r>
          </w:p>
        </w:tc>
        <w:tc>
          <w:tcPr>
            <w:tcW w:w="4547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General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09" w:hRule="atLeast"/>
          <w:jc w:val="center"/>
        </w:trPr>
        <w:tc>
          <w:tcPr>
            <w:tcW w:w="4525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</w:rPr>
              <w:t>https://www.cosnautas.com/en</w:t>
            </w:r>
          </w:p>
        </w:tc>
        <w:tc>
          <w:tcPr>
            <w:tcW w:w="4547" w:type="dxa"/>
          </w:tcPr>
          <w:p>
            <w:pPr>
              <w:pStyle w:val="22"/>
              <w:rPr>
                <w:rFonts w:hint="default"/>
                <w:lang w:val="es-AR"/>
              </w:rPr>
            </w:pPr>
            <w:r>
              <w:rPr>
                <w:rFonts w:hint="default"/>
                <w:lang w:val="es-AR"/>
              </w:rPr>
              <w:t>General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4525" w:type="dxa"/>
          </w:tcPr>
          <w:p>
            <w:pPr>
              <w:rPr>
                <w:rFonts w:hint="default"/>
                <w:lang w:val="es-AR"/>
              </w:rPr>
            </w:pPr>
            <w:r>
              <w:rPr>
                <w:rFonts w:hint="default" w:ascii="Arial" w:hAnsi="Arial" w:eastAsia="Times New Roman" w:cs="Times New Roman"/>
                <w:i/>
                <w:sz w:val="20"/>
                <w:szCs w:val="20"/>
                <w:lang w:val="en-GB" w:eastAsia="en-US" w:bidi="ar-SA"/>
              </w:rPr>
              <w:t>https://ww</w:t>
            </w:r>
            <w:bookmarkStart w:id="1" w:name="_GoBack"/>
            <w:bookmarkEnd w:id="1"/>
            <w:r>
              <w:rPr>
                <w:rFonts w:hint="default" w:ascii="Arial" w:hAnsi="Arial" w:eastAsia="Times New Roman" w:cs="Times New Roman"/>
                <w:i/>
                <w:sz w:val="20"/>
                <w:szCs w:val="20"/>
                <w:lang w:val="en-GB" w:eastAsia="en-US" w:bidi="ar-SA"/>
              </w:rPr>
              <w:t>w.fundeu.es/</w:t>
            </w:r>
          </w:p>
        </w:tc>
        <w:tc>
          <w:tcPr>
            <w:tcW w:w="4547" w:type="dxa"/>
          </w:tcPr>
          <w:p>
            <w:pPr>
              <w:rPr>
                <w:rFonts w:hint="default"/>
                <w:lang w:val="es-AR"/>
              </w:rPr>
            </w:pPr>
            <w:r>
              <w:rPr>
                <w:rFonts w:hint="default" w:ascii="Arial" w:hAnsi="Arial" w:eastAsia="Times New Roman" w:cs="Times New Roman"/>
                <w:i/>
                <w:sz w:val="20"/>
                <w:szCs w:val="20"/>
                <w:lang w:val="es-AR" w:eastAsia="en-US" w:bidi="ar-SA"/>
              </w:rPr>
              <w:t>General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jc w:val="center"/>
        </w:trPr>
        <w:tc>
          <w:tcPr>
            <w:tcW w:w="4525" w:type="dxa"/>
          </w:tcPr>
          <w:p>
            <w:pPr>
              <w:pStyle w:val="22"/>
              <w:rPr>
                <w:rFonts w:hint="default"/>
                <w:lang w:val="es-AR" w:eastAsia="en-US"/>
              </w:rPr>
            </w:pPr>
            <w:r>
              <w:rPr>
                <w:rFonts w:hint="default"/>
                <w:lang w:val="en-GB" w:eastAsia="en-US"/>
              </w:rPr>
              <w:fldChar w:fldCharType="begin"/>
            </w:r>
            <w:r>
              <w:rPr>
                <w:rFonts w:hint="default"/>
                <w:lang w:val="en-GB" w:eastAsia="en-US"/>
              </w:rPr>
              <w:instrText xml:space="preserve"> HYPERLINK "https://www.mayoclinic.org/" </w:instrText>
            </w:r>
            <w:r>
              <w:rPr>
                <w:rFonts w:hint="default"/>
                <w:lang w:val="en-GB" w:eastAsia="en-US"/>
              </w:rPr>
              <w:fldChar w:fldCharType="separate"/>
            </w:r>
            <w:r>
              <w:rPr>
                <w:rFonts w:hint="default"/>
                <w:lang w:val="en-GB" w:eastAsia="en-US"/>
              </w:rPr>
              <w:t>https://www.mayoclinic.org/</w:t>
            </w:r>
            <w:r>
              <w:rPr>
                <w:rFonts w:hint="default"/>
                <w:lang w:val="en-GB" w:eastAsia="en-US"/>
              </w:rPr>
              <w:fldChar w:fldCharType="end"/>
            </w:r>
            <w:r>
              <w:rPr>
                <w:rFonts w:hint="default"/>
                <w:lang w:val="es-AR" w:eastAsia="en-US"/>
              </w:rPr>
              <w:t xml:space="preserve"> </w:t>
            </w:r>
          </w:p>
          <w:p>
            <w:pPr>
              <w:pStyle w:val="22"/>
              <w:rPr>
                <w:rFonts w:hint="default" w:ascii="Arial" w:hAnsi="Arial" w:eastAsia="Times New Roman"/>
                <w:i/>
                <w:sz w:val="20"/>
                <w:szCs w:val="20"/>
                <w:lang w:val="es-AR" w:eastAsia="en-US"/>
              </w:rPr>
            </w:pPr>
            <w:r>
              <w:rPr>
                <w:rFonts w:hint="default"/>
                <w:lang w:val="es-AR" w:eastAsia="en-US"/>
              </w:rPr>
              <w:t>Mayo Clinic Staff</w:t>
            </w:r>
          </w:p>
        </w:tc>
        <w:tc>
          <w:tcPr>
            <w:tcW w:w="4547" w:type="dxa"/>
          </w:tcPr>
          <w:p>
            <w:pPr>
              <w:rPr>
                <w:rFonts w:hint="default" w:ascii="Arial" w:hAnsi="Arial" w:eastAsia="Times New Roman" w:cs="Times New Roman"/>
                <w:i/>
                <w:sz w:val="20"/>
                <w:szCs w:val="20"/>
                <w:lang w:val="es-AR" w:eastAsia="en-US" w:bidi="ar-SA"/>
              </w:rPr>
            </w:pPr>
            <w:r>
              <w:rPr>
                <w:rFonts w:hint="default" w:ascii="Arial" w:hAnsi="Arial" w:eastAsia="Times New Roman" w:cs="Times New Roman"/>
                <w:i/>
                <w:sz w:val="20"/>
                <w:szCs w:val="20"/>
                <w:lang w:val="es-AR" w:eastAsia="en-US" w:bidi="ar-SA"/>
              </w:rPr>
              <w:t>Specific - Pneumothorax</w:t>
            </w:r>
          </w:p>
        </w:tc>
      </w:tr>
    </w:tbl>
    <w:p>
      <w:pPr>
        <w:rPr>
          <w:lang w:val="en-US"/>
        </w:rPr>
      </w:pPr>
    </w:p>
    <w:bookmarkEnd w:id="0"/>
    <w:p>
      <w:r>
        <w:t>Thanks!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othamNarrow-Bol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othamNarrow-Book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itic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drawing>
        <wp:inline distT="0" distB="0" distL="0" distR="0">
          <wp:extent cx="1659890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right"/>
    </w:pPr>
    <w:r>
      <w:drawing>
        <wp:inline distT="0" distB="0" distL="0" distR="0">
          <wp:extent cx="597535" cy="598805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186" cy="626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E"/>
    <w:multiLevelType w:val="singleLevel"/>
    <w:tmpl w:val="FFFFFFFE"/>
    <w:lvl w:ilvl="0" w:tentative="0">
      <w:start w:val="0"/>
      <w:numFmt w:val="decimal"/>
      <w:lvlText w:val="*"/>
      <w:lvlJc w:val="left"/>
    </w:lvl>
  </w:abstractNum>
  <w:abstractNum w:abstractNumId="1">
    <w:nsid w:val="25416B5D"/>
    <w:multiLevelType w:val="multilevel"/>
    <w:tmpl w:val="25416B5D"/>
    <w:lvl w:ilvl="0" w:tentative="0">
      <w:start w:val="3"/>
      <w:numFmt w:val="decimal"/>
      <w:pStyle w:val="2"/>
      <w:suff w:val="space"/>
      <w:lvlText w:val="2.%1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/>
        <w:smallCaps w:val="0"/>
        <w:sz w:val="24"/>
        <w:u w:val="none"/>
      </w:rPr>
    </w:lvl>
    <w:lvl w:ilvl="1" w:tentative="0">
      <w:start w:val="1"/>
      <w:numFmt w:val="decimal"/>
      <w:pStyle w:val="4"/>
      <w:suff w:val="space"/>
      <w:lvlText w:val="2.%1.%2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2" w:tentative="0">
      <w:start w:val="1"/>
      <w:numFmt w:val="decimal"/>
      <w:pStyle w:val="5"/>
      <w:suff w:val="space"/>
      <w:lvlText w:val="2.%1.%2.%3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3" w:tentative="0">
      <w:start w:val="1"/>
      <w:numFmt w:val="decimal"/>
      <w:pStyle w:val="6"/>
      <w:suff w:val="space"/>
      <w:lvlText w:val="2.%1.%2.%3.%4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4" w:tentative="0">
      <w:start w:val="1"/>
      <w:numFmt w:val="decimal"/>
      <w:pStyle w:val="7"/>
      <w:suff w:val="space"/>
      <w:lvlText w:val="2.%1.%2.%3.%4.%5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5" w:tentative="0">
      <w:start w:val="1"/>
      <w:numFmt w:val="decimal"/>
      <w:pStyle w:val="8"/>
      <w:suff w:val="space"/>
      <w:lvlText w:val="2.%1.%2.%3.%4.%5.%6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6" w:tentative="0">
      <w:start w:val="1"/>
      <w:numFmt w:val="decimal"/>
      <w:pStyle w:val="9"/>
      <w:suff w:val="space"/>
      <w:lvlText w:val="2.%1.%2.%3.%4.%5.%6.%7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7" w:tentative="0">
      <w:start w:val="1"/>
      <w:numFmt w:val="decimal"/>
      <w:pStyle w:val="10"/>
      <w:suff w:val="space"/>
      <w:lvlText w:val="2.%1.%2.%3.%4.%5.%6.%7.%8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8" w:tentative="0">
      <w:start w:val="1"/>
      <w:numFmt w:val="decimal"/>
      <w:pStyle w:val="11"/>
      <w:suff w:val="space"/>
      <w:lvlText w:val="2.%1.%2.%3.%4.%5.%6.%7.%8.%9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</w:abstractNum>
  <w:abstractNum w:abstractNumId="2">
    <w:nsid w:val="5AA9547F"/>
    <w:multiLevelType w:val="multilevel"/>
    <w:tmpl w:val="5AA9547F"/>
    <w:lvl w:ilvl="0" w:tentative="0">
      <w:start w:val="3"/>
      <w:numFmt w:val="decimal"/>
      <w:pStyle w:val="36"/>
      <w:suff w:val="space"/>
      <w:lvlText w:val="Appendix %1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1" w:tentative="0">
      <w:start w:val="1"/>
      <w:numFmt w:val="decimal"/>
      <w:pStyle w:val="37"/>
      <w:suff w:val="space"/>
      <w:lvlText w:val="Appendix %1.%2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2" w:tentative="0">
      <w:start w:val="1"/>
      <w:numFmt w:val="decimal"/>
      <w:pStyle w:val="38"/>
      <w:suff w:val="space"/>
      <w:lvlText w:val="Appendix %1.%2.%3.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/>
        <w:i w:val="0"/>
        <w:caps w:val="0"/>
        <w:sz w:val="24"/>
        <w:u w:val="none"/>
      </w:rPr>
    </w:lvl>
    <w:lvl w:ilvl="3" w:tentative="0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 w:tentative="1">
        <w:start w:val="1"/>
        <w:numFmt w:val="bullet"/>
        <w:pStyle w:val="19"/>
        <w:lvlText w:val=""/>
        <w:legacy w:legacy="1" w:legacySpace="0" w:legacyIndent="283"/>
        <w:lvlJc w:val="left"/>
        <w:pPr>
          <w:ind w:left="283" w:hanging="283"/>
        </w:pPr>
        <w:rPr>
          <w:rFonts w:hint="default" w:ascii="Symbol" w:hAnsi="Symbol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93AD3"/>
    <w:rsid w:val="00165C88"/>
    <w:rsid w:val="001C1C1C"/>
    <w:rsid w:val="00222AEE"/>
    <w:rsid w:val="0029735B"/>
    <w:rsid w:val="006217FC"/>
    <w:rsid w:val="006B63B5"/>
    <w:rsid w:val="00717925"/>
    <w:rsid w:val="00814892"/>
    <w:rsid w:val="009239F4"/>
    <w:rsid w:val="00947BA5"/>
    <w:rsid w:val="00970A9B"/>
    <w:rsid w:val="00992EE4"/>
    <w:rsid w:val="00A64FA3"/>
    <w:rsid w:val="00B3320C"/>
    <w:rsid w:val="00B60D6E"/>
    <w:rsid w:val="00B76B3F"/>
    <w:rsid w:val="00B82EB1"/>
    <w:rsid w:val="00BA1735"/>
    <w:rsid w:val="00BA77C8"/>
    <w:rsid w:val="00C32E34"/>
    <w:rsid w:val="00D165ED"/>
    <w:rsid w:val="00D8143B"/>
    <w:rsid w:val="00E23080"/>
    <w:rsid w:val="00E87D6A"/>
    <w:rsid w:val="00EB417C"/>
    <w:rsid w:val="010B23BC"/>
    <w:rsid w:val="085656CE"/>
    <w:rsid w:val="0B516F30"/>
    <w:rsid w:val="0EC855DD"/>
    <w:rsid w:val="0FF8008C"/>
    <w:rsid w:val="10C12CE2"/>
    <w:rsid w:val="13CD7693"/>
    <w:rsid w:val="156011C2"/>
    <w:rsid w:val="16A32C1A"/>
    <w:rsid w:val="1AB81C0E"/>
    <w:rsid w:val="1CAA610B"/>
    <w:rsid w:val="1E167E1A"/>
    <w:rsid w:val="21C67375"/>
    <w:rsid w:val="242E0E81"/>
    <w:rsid w:val="254346DC"/>
    <w:rsid w:val="25AF1B0D"/>
    <w:rsid w:val="265310C5"/>
    <w:rsid w:val="26D729B9"/>
    <w:rsid w:val="272F04EB"/>
    <w:rsid w:val="296C575B"/>
    <w:rsid w:val="29E578EE"/>
    <w:rsid w:val="2A493971"/>
    <w:rsid w:val="2BA9168C"/>
    <w:rsid w:val="314B4F0E"/>
    <w:rsid w:val="324D3CCD"/>
    <w:rsid w:val="325F0444"/>
    <w:rsid w:val="33AC3EEB"/>
    <w:rsid w:val="33F144B1"/>
    <w:rsid w:val="34A82E78"/>
    <w:rsid w:val="37270492"/>
    <w:rsid w:val="37E30359"/>
    <w:rsid w:val="3B021B3F"/>
    <w:rsid w:val="3C377043"/>
    <w:rsid w:val="403E6B4A"/>
    <w:rsid w:val="419D26DF"/>
    <w:rsid w:val="42326907"/>
    <w:rsid w:val="44F41D87"/>
    <w:rsid w:val="45CC712A"/>
    <w:rsid w:val="48731A52"/>
    <w:rsid w:val="49D31807"/>
    <w:rsid w:val="4A8011B6"/>
    <w:rsid w:val="4B2B1F8A"/>
    <w:rsid w:val="4DBF7718"/>
    <w:rsid w:val="5173508A"/>
    <w:rsid w:val="53024A21"/>
    <w:rsid w:val="547E4826"/>
    <w:rsid w:val="564E1DDB"/>
    <w:rsid w:val="569D47F6"/>
    <w:rsid w:val="56A133B3"/>
    <w:rsid w:val="59611AAE"/>
    <w:rsid w:val="5B0941CD"/>
    <w:rsid w:val="5B334FBD"/>
    <w:rsid w:val="5B4E0727"/>
    <w:rsid w:val="606F6CA6"/>
    <w:rsid w:val="60A751B7"/>
    <w:rsid w:val="619A2B26"/>
    <w:rsid w:val="61D352FD"/>
    <w:rsid w:val="62844C72"/>
    <w:rsid w:val="63DF7DB8"/>
    <w:rsid w:val="666C5CA4"/>
    <w:rsid w:val="66B2099B"/>
    <w:rsid w:val="67EF1A35"/>
    <w:rsid w:val="6A8249DA"/>
    <w:rsid w:val="6EA76C31"/>
    <w:rsid w:val="6F381F83"/>
    <w:rsid w:val="6F8B51F5"/>
    <w:rsid w:val="6FBD57B2"/>
    <w:rsid w:val="724C23F6"/>
    <w:rsid w:val="756C581E"/>
    <w:rsid w:val="75811A8E"/>
    <w:rsid w:val="784E1309"/>
    <w:rsid w:val="7B9B65DE"/>
    <w:rsid w:val="7FCE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AR" w:eastAsia="en-US" w:bidi="ar-SA"/>
    </w:rPr>
  </w:style>
  <w:style w:type="paragraph" w:styleId="2">
    <w:name w:val="heading 1"/>
    <w:next w:val="3"/>
    <w:link w:val="26"/>
    <w:qFormat/>
    <w:uiPriority w:val="0"/>
    <w:pPr>
      <w:keepNext/>
      <w:numPr>
        <w:ilvl w:val="0"/>
        <w:numId w:val="1"/>
      </w:numPr>
      <w:tabs>
        <w:tab w:val="clear" w:pos="0"/>
      </w:tabs>
      <w:spacing w:before="120" w:after="120" w:line="240" w:lineRule="auto"/>
      <w:outlineLvl w:val="0"/>
    </w:pPr>
    <w:rPr>
      <w:rFonts w:ascii="Times New Roman" w:hAnsi="Times New Roman" w:eastAsia="SimSun" w:cs="Arial"/>
      <w:b/>
      <w:bCs/>
      <w:caps/>
      <w:sz w:val="24"/>
      <w:szCs w:val="28"/>
      <w:lang w:val="en-US" w:eastAsia="en-US" w:bidi="ar-SA"/>
    </w:rPr>
  </w:style>
  <w:style w:type="paragraph" w:styleId="4">
    <w:name w:val="heading 2"/>
    <w:next w:val="3"/>
    <w:link w:val="27"/>
    <w:qFormat/>
    <w:uiPriority w:val="0"/>
    <w:pPr>
      <w:keepNext/>
      <w:numPr>
        <w:ilvl w:val="1"/>
        <w:numId w:val="1"/>
      </w:numPr>
      <w:tabs>
        <w:tab w:val="clear" w:pos="0"/>
      </w:tabs>
      <w:spacing w:before="120" w:after="120" w:line="240" w:lineRule="auto"/>
      <w:outlineLvl w:val="1"/>
    </w:pPr>
    <w:rPr>
      <w:rFonts w:ascii="Times New Roman" w:hAnsi="Times New Roman" w:eastAsia="SimSun" w:cs="Arial"/>
      <w:b/>
      <w:bCs/>
      <w:sz w:val="24"/>
      <w:szCs w:val="26"/>
      <w:lang w:val="en-US" w:eastAsia="en-US" w:bidi="ar-SA"/>
    </w:rPr>
  </w:style>
  <w:style w:type="paragraph" w:styleId="5">
    <w:name w:val="heading 3"/>
    <w:next w:val="3"/>
    <w:link w:val="28"/>
    <w:qFormat/>
    <w:uiPriority w:val="0"/>
    <w:pPr>
      <w:keepNext/>
      <w:numPr>
        <w:ilvl w:val="2"/>
        <w:numId w:val="1"/>
      </w:numPr>
      <w:tabs>
        <w:tab w:val="clear" w:pos="0"/>
      </w:tabs>
      <w:spacing w:before="120" w:after="120" w:line="240" w:lineRule="auto"/>
      <w:outlineLvl w:val="2"/>
    </w:pPr>
    <w:rPr>
      <w:rFonts w:ascii="Times New Roman" w:hAnsi="Times New Roman" w:eastAsia="SimSun" w:cs="Arial"/>
      <w:b/>
      <w:sz w:val="24"/>
      <w:szCs w:val="26"/>
      <w:lang w:val="en-US" w:eastAsia="en-US" w:bidi="ar-SA"/>
    </w:rPr>
  </w:style>
  <w:style w:type="paragraph" w:styleId="6">
    <w:name w:val="heading 4"/>
    <w:next w:val="3"/>
    <w:link w:val="29"/>
    <w:qFormat/>
    <w:uiPriority w:val="0"/>
    <w:pPr>
      <w:keepNext/>
      <w:numPr>
        <w:ilvl w:val="3"/>
        <w:numId w:val="1"/>
      </w:numPr>
      <w:tabs>
        <w:tab w:val="clear" w:pos="0"/>
      </w:tabs>
      <w:spacing w:before="120" w:after="120" w:line="240" w:lineRule="auto"/>
      <w:outlineLvl w:val="3"/>
    </w:pPr>
    <w:rPr>
      <w:rFonts w:ascii="Times New Roman" w:hAnsi="Times New Roman" w:eastAsia="SimSun" w:cs="Arial"/>
      <w:b/>
      <w:bCs/>
      <w:sz w:val="24"/>
      <w:szCs w:val="24"/>
      <w:lang w:val="en-US" w:eastAsia="en-US" w:bidi="ar-SA"/>
    </w:rPr>
  </w:style>
  <w:style w:type="paragraph" w:styleId="7">
    <w:name w:val="heading 5"/>
    <w:next w:val="3"/>
    <w:link w:val="30"/>
    <w:qFormat/>
    <w:uiPriority w:val="0"/>
    <w:pPr>
      <w:keepNext/>
      <w:numPr>
        <w:ilvl w:val="4"/>
        <w:numId w:val="1"/>
      </w:numPr>
      <w:tabs>
        <w:tab w:val="clear" w:pos="0"/>
      </w:tabs>
      <w:spacing w:before="120" w:after="120" w:line="240" w:lineRule="auto"/>
      <w:outlineLvl w:val="4"/>
    </w:pPr>
    <w:rPr>
      <w:rFonts w:ascii="Times New Roman" w:hAnsi="Times New Roman" w:eastAsia="Times New Roman" w:cs="Arial"/>
      <w:b/>
      <w:iCs/>
      <w:sz w:val="24"/>
      <w:szCs w:val="24"/>
      <w:lang w:val="en-US" w:eastAsia="en-US" w:bidi="ar-SA"/>
    </w:rPr>
  </w:style>
  <w:style w:type="paragraph" w:styleId="8">
    <w:name w:val="heading 6"/>
    <w:next w:val="3"/>
    <w:link w:val="31"/>
    <w:qFormat/>
    <w:uiPriority w:val="0"/>
    <w:pPr>
      <w:keepNext/>
      <w:numPr>
        <w:ilvl w:val="5"/>
        <w:numId w:val="1"/>
      </w:numPr>
      <w:tabs>
        <w:tab w:val="clear" w:pos="0"/>
      </w:tabs>
      <w:spacing w:before="120" w:after="120" w:line="240" w:lineRule="auto"/>
      <w:outlineLvl w:val="5"/>
    </w:pPr>
    <w:rPr>
      <w:rFonts w:ascii="Times New Roman" w:hAnsi="Times New Roman" w:eastAsia="Times New Roman" w:cs="Arial"/>
      <w:b/>
      <w:iCs/>
      <w:sz w:val="24"/>
      <w:szCs w:val="24"/>
      <w:lang w:val="en-US" w:eastAsia="en-US" w:bidi="ar-SA"/>
    </w:rPr>
  </w:style>
  <w:style w:type="paragraph" w:styleId="9">
    <w:name w:val="heading 7"/>
    <w:next w:val="3"/>
    <w:link w:val="32"/>
    <w:qFormat/>
    <w:uiPriority w:val="0"/>
    <w:pPr>
      <w:keepNext/>
      <w:numPr>
        <w:ilvl w:val="6"/>
        <w:numId w:val="1"/>
      </w:numPr>
      <w:tabs>
        <w:tab w:val="clear" w:pos="0"/>
      </w:tabs>
      <w:spacing w:before="120" w:after="120" w:line="240" w:lineRule="auto"/>
      <w:outlineLvl w:val="6"/>
    </w:pPr>
    <w:rPr>
      <w:rFonts w:ascii="Times New Roman" w:hAnsi="Times New Roman" w:eastAsia="Times New Roman" w:cs="Arial"/>
      <w:b/>
      <w:iCs/>
      <w:sz w:val="24"/>
      <w:szCs w:val="24"/>
      <w:lang w:val="en-US" w:eastAsia="en-US" w:bidi="ar-SA"/>
    </w:rPr>
  </w:style>
  <w:style w:type="paragraph" w:styleId="10">
    <w:name w:val="heading 8"/>
    <w:next w:val="3"/>
    <w:link w:val="33"/>
    <w:qFormat/>
    <w:uiPriority w:val="0"/>
    <w:pPr>
      <w:keepNext/>
      <w:numPr>
        <w:ilvl w:val="7"/>
        <w:numId w:val="1"/>
      </w:numPr>
      <w:tabs>
        <w:tab w:val="clear" w:pos="0"/>
      </w:tabs>
      <w:spacing w:before="120" w:after="120" w:line="240" w:lineRule="auto"/>
      <w:outlineLvl w:val="7"/>
    </w:pPr>
    <w:rPr>
      <w:rFonts w:ascii="Times New Roman" w:hAnsi="Times New Roman" w:eastAsia="Times New Roman" w:cs="Arial"/>
      <w:b/>
      <w:iCs/>
      <w:sz w:val="24"/>
      <w:szCs w:val="24"/>
      <w:lang w:val="en-US" w:eastAsia="en-US" w:bidi="ar-SA"/>
    </w:rPr>
  </w:style>
  <w:style w:type="paragraph" w:styleId="11">
    <w:name w:val="heading 9"/>
    <w:next w:val="3"/>
    <w:link w:val="34"/>
    <w:qFormat/>
    <w:uiPriority w:val="0"/>
    <w:pPr>
      <w:keepNext/>
      <w:numPr>
        <w:ilvl w:val="8"/>
        <w:numId w:val="1"/>
      </w:numPr>
      <w:tabs>
        <w:tab w:val="clear" w:pos="0"/>
      </w:tabs>
      <w:spacing w:before="120" w:after="120" w:line="240" w:lineRule="auto"/>
      <w:outlineLvl w:val="8"/>
    </w:pPr>
    <w:rPr>
      <w:rFonts w:ascii="Times New Roman" w:hAnsi="Times New Roman" w:eastAsia="Times New Roman" w:cs="Arial"/>
      <w:b/>
      <w:iCs/>
      <w:sz w:val="24"/>
      <w:szCs w:val="24"/>
      <w:lang w:val="en-US" w:eastAsia="en-US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Paragraph"/>
    <w:link w:val="35"/>
    <w:uiPriority w:val="0"/>
    <w:pPr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14">
    <w:name w:val="footer"/>
    <w:basedOn w:val="1"/>
    <w:link w:val="25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5">
    <w:name w:val="header"/>
    <w:basedOn w:val="1"/>
    <w:link w:val="24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16">
    <w:name w:val="Hyperlink"/>
    <w:basedOn w:val="12"/>
    <w:semiHidden/>
    <w:unhideWhenUsed/>
    <w:uiPriority w:val="99"/>
    <w:rPr>
      <w:color w:val="0000FF"/>
      <w:u w:val="single"/>
    </w:rPr>
  </w:style>
  <w:style w:type="character" w:styleId="17">
    <w:name w:val="Strong"/>
    <w:basedOn w:val="12"/>
    <w:qFormat/>
    <w:uiPriority w:val="22"/>
    <w:rPr>
      <w:b/>
      <w:bCs/>
    </w:rPr>
  </w:style>
  <w:style w:type="table" w:styleId="18">
    <w:name w:val="Table Grid"/>
    <w:basedOn w:val="1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Instruct-Bullet"/>
    <w:qFormat/>
    <w:uiPriority w:val="0"/>
    <w:pPr>
      <w:numPr>
        <w:ilvl w:val="0"/>
        <w:numId w:val="2"/>
      </w:num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after="60" w:line="240" w:lineRule="auto"/>
    </w:pPr>
    <w:rPr>
      <w:rFonts w:ascii="Arial" w:hAnsi="Arial" w:eastAsia="Times New Roman" w:cs="Times New Roman"/>
      <w:i/>
      <w:sz w:val="16"/>
      <w:szCs w:val="20"/>
      <w:lang w:val="en-GB" w:eastAsia="en-US" w:bidi="ar-SA"/>
    </w:rPr>
  </w:style>
  <w:style w:type="character" w:styleId="20">
    <w:name w:val="Placeholder Text"/>
    <w:basedOn w:val="12"/>
    <w:semiHidden/>
    <w:qFormat/>
    <w:uiPriority w:val="99"/>
    <w:rPr>
      <w:color w:val="808080"/>
    </w:rPr>
  </w:style>
  <w:style w:type="paragraph" w:customStyle="1" w:styleId="21">
    <w:name w:val="Instruct-Body"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after="60" w:line="240" w:lineRule="auto"/>
    </w:pPr>
    <w:rPr>
      <w:rFonts w:ascii="Arial" w:hAnsi="Arial" w:eastAsia="Times New Roman" w:cs="Times New Roman"/>
      <w:i/>
      <w:sz w:val="16"/>
      <w:szCs w:val="20"/>
      <w:lang w:val="en-GB" w:eastAsia="en-US" w:bidi="ar-SA"/>
    </w:rPr>
  </w:style>
  <w:style w:type="paragraph" w:customStyle="1" w:styleId="22">
    <w:name w:val="Table-Body"/>
    <w:uiPriority w:val="0"/>
    <w:pPr>
      <w:spacing w:after="0" w:line="240" w:lineRule="auto"/>
    </w:pPr>
    <w:rPr>
      <w:rFonts w:ascii="Arial" w:hAnsi="Arial" w:eastAsia="Times New Roman" w:cs="Times New Roman"/>
      <w:i/>
      <w:sz w:val="20"/>
      <w:szCs w:val="20"/>
      <w:lang w:val="en-GB" w:eastAsia="en-US" w:bidi="ar-SA"/>
    </w:rPr>
  </w:style>
  <w:style w:type="paragraph" w:customStyle="1" w:styleId="23">
    <w:name w:val="Table-Heading"/>
    <w:basedOn w:val="1"/>
    <w:uiPriority w:val="0"/>
    <w:pPr>
      <w:spacing w:before="60" w:after="60" w:line="240" w:lineRule="auto"/>
    </w:pPr>
    <w:rPr>
      <w:rFonts w:ascii="Arial" w:hAnsi="Arial" w:eastAsia="Times New Roman" w:cs="Times New Roman"/>
      <w:b/>
      <w:sz w:val="20"/>
      <w:szCs w:val="20"/>
      <w:lang w:val="en-GB"/>
    </w:rPr>
  </w:style>
  <w:style w:type="character" w:customStyle="1" w:styleId="24">
    <w:name w:val="Encabezado Car"/>
    <w:basedOn w:val="12"/>
    <w:link w:val="15"/>
    <w:uiPriority w:val="99"/>
  </w:style>
  <w:style w:type="character" w:customStyle="1" w:styleId="25">
    <w:name w:val="Pie de página Car"/>
    <w:basedOn w:val="12"/>
    <w:link w:val="14"/>
    <w:uiPriority w:val="99"/>
  </w:style>
  <w:style w:type="character" w:customStyle="1" w:styleId="26">
    <w:name w:val="Título 1 Car"/>
    <w:basedOn w:val="12"/>
    <w:link w:val="2"/>
    <w:uiPriority w:val="0"/>
    <w:rPr>
      <w:rFonts w:ascii="Times New Roman" w:hAnsi="Times New Roman" w:eastAsia="SimSun" w:cs="Arial"/>
      <w:b/>
      <w:bCs/>
      <w:caps/>
      <w:sz w:val="24"/>
      <w:szCs w:val="28"/>
      <w:lang w:val="en-US"/>
    </w:rPr>
  </w:style>
  <w:style w:type="character" w:customStyle="1" w:styleId="27">
    <w:name w:val="Título 2 Car"/>
    <w:basedOn w:val="12"/>
    <w:link w:val="4"/>
    <w:qFormat/>
    <w:uiPriority w:val="0"/>
    <w:rPr>
      <w:rFonts w:ascii="Times New Roman" w:hAnsi="Times New Roman" w:eastAsia="SimSun" w:cs="Arial"/>
      <w:b/>
      <w:bCs/>
      <w:sz w:val="24"/>
      <w:szCs w:val="26"/>
      <w:lang w:val="en-US"/>
    </w:rPr>
  </w:style>
  <w:style w:type="character" w:customStyle="1" w:styleId="28">
    <w:name w:val="Título 3 Car"/>
    <w:basedOn w:val="12"/>
    <w:link w:val="5"/>
    <w:qFormat/>
    <w:uiPriority w:val="0"/>
    <w:rPr>
      <w:rFonts w:ascii="Times New Roman" w:hAnsi="Times New Roman" w:eastAsia="SimSun" w:cs="Arial"/>
      <w:b/>
      <w:sz w:val="24"/>
      <w:szCs w:val="26"/>
      <w:lang w:val="en-US"/>
    </w:rPr>
  </w:style>
  <w:style w:type="character" w:customStyle="1" w:styleId="29">
    <w:name w:val="Título 4 Car"/>
    <w:basedOn w:val="12"/>
    <w:link w:val="6"/>
    <w:uiPriority w:val="0"/>
    <w:rPr>
      <w:rFonts w:ascii="Times New Roman" w:hAnsi="Times New Roman" w:eastAsia="SimSun" w:cs="Arial"/>
      <w:b/>
      <w:bCs/>
      <w:sz w:val="24"/>
      <w:szCs w:val="24"/>
      <w:lang w:val="en-US"/>
    </w:rPr>
  </w:style>
  <w:style w:type="character" w:customStyle="1" w:styleId="30">
    <w:name w:val="Título 5 Car"/>
    <w:basedOn w:val="12"/>
    <w:link w:val="7"/>
    <w:qFormat/>
    <w:uiPriority w:val="0"/>
    <w:rPr>
      <w:rFonts w:ascii="Times New Roman" w:hAnsi="Times New Roman" w:eastAsia="Times New Roman" w:cs="Arial"/>
      <w:b/>
      <w:iCs/>
      <w:sz w:val="24"/>
      <w:szCs w:val="24"/>
      <w:lang w:val="en-US"/>
    </w:rPr>
  </w:style>
  <w:style w:type="character" w:customStyle="1" w:styleId="31">
    <w:name w:val="Título 6 Car"/>
    <w:basedOn w:val="12"/>
    <w:link w:val="8"/>
    <w:qFormat/>
    <w:uiPriority w:val="0"/>
    <w:rPr>
      <w:rFonts w:ascii="Times New Roman" w:hAnsi="Times New Roman" w:eastAsia="Times New Roman" w:cs="Arial"/>
      <w:b/>
      <w:iCs/>
      <w:sz w:val="24"/>
      <w:szCs w:val="24"/>
      <w:lang w:val="en-US"/>
    </w:rPr>
  </w:style>
  <w:style w:type="character" w:customStyle="1" w:styleId="32">
    <w:name w:val="Título 7 Car"/>
    <w:basedOn w:val="12"/>
    <w:link w:val="9"/>
    <w:uiPriority w:val="0"/>
    <w:rPr>
      <w:rFonts w:ascii="Times New Roman" w:hAnsi="Times New Roman" w:eastAsia="Times New Roman" w:cs="Arial"/>
      <w:b/>
      <w:iCs/>
      <w:sz w:val="24"/>
      <w:szCs w:val="24"/>
      <w:lang w:val="en-US"/>
    </w:rPr>
  </w:style>
  <w:style w:type="character" w:customStyle="1" w:styleId="33">
    <w:name w:val="Título 8 Car"/>
    <w:basedOn w:val="12"/>
    <w:link w:val="10"/>
    <w:uiPriority w:val="0"/>
    <w:rPr>
      <w:rFonts w:ascii="Times New Roman" w:hAnsi="Times New Roman" w:eastAsia="Times New Roman" w:cs="Arial"/>
      <w:b/>
      <w:iCs/>
      <w:sz w:val="24"/>
      <w:szCs w:val="24"/>
      <w:lang w:val="en-US"/>
    </w:rPr>
  </w:style>
  <w:style w:type="character" w:customStyle="1" w:styleId="34">
    <w:name w:val="Título 9 Car"/>
    <w:basedOn w:val="12"/>
    <w:link w:val="11"/>
    <w:uiPriority w:val="0"/>
    <w:rPr>
      <w:rFonts w:ascii="Times New Roman" w:hAnsi="Times New Roman" w:eastAsia="Times New Roman" w:cs="Arial"/>
      <w:b/>
      <w:iCs/>
      <w:sz w:val="24"/>
      <w:szCs w:val="24"/>
      <w:lang w:val="en-US"/>
    </w:rPr>
  </w:style>
  <w:style w:type="character" w:customStyle="1" w:styleId="35">
    <w:name w:val="Paragraph Char"/>
    <w:link w:val="3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customStyle="1" w:styleId="36">
    <w:name w:val="Appendix 1"/>
    <w:next w:val="3"/>
    <w:uiPriority w:val="0"/>
    <w:pPr>
      <w:keepNext/>
      <w:numPr>
        <w:ilvl w:val="0"/>
        <w:numId w:val="3"/>
      </w:numPr>
      <w:tabs>
        <w:tab w:val="clear" w:pos="0"/>
      </w:tabs>
      <w:spacing w:after="240" w:line="240" w:lineRule="auto"/>
    </w:pPr>
    <w:rPr>
      <w:rFonts w:ascii="Times New Roman" w:hAnsi="Times New Roman" w:eastAsia="Times New Roman" w:cs="Times New Roman"/>
      <w:b/>
      <w:sz w:val="24"/>
      <w:szCs w:val="24"/>
      <w:lang w:val="en-US" w:eastAsia="en-US" w:bidi="ar-SA"/>
    </w:rPr>
  </w:style>
  <w:style w:type="paragraph" w:customStyle="1" w:styleId="37">
    <w:name w:val="Appendix 2"/>
    <w:next w:val="3"/>
    <w:qFormat/>
    <w:uiPriority w:val="0"/>
    <w:pPr>
      <w:keepNext/>
      <w:numPr>
        <w:ilvl w:val="1"/>
        <w:numId w:val="3"/>
      </w:numPr>
      <w:tabs>
        <w:tab w:val="clear" w:pos="0"/>
      </w:tabs>
      <w:spacing w:after="240" w:line="240" w:lineRule="auto"/>
    </w:pPr>
    <w:rPr>
      <w:rFonts w:ascii="Times New Roman" w:hAnsi="Times New Roman" w:eastAsia="Times New Roman" w:cs="Arial"/>
      <w:b/>
      <w:sz w:val="24"/>
      <w:szCs w:val="24"/>
      <w:lang w:val="en-US" w:eastAsia="en-US" w:bidi="ar-SA"/>
    </w:rPr>
  </w:style>
  <w:style w:type="paragraph" w:customStyle="1" w:styleId="38">
    <w:name w:val="Appendix 3"/>
    <w:next w:val="3"/>
    <w:qFormat/>
    <w:uiPriority w:val="0"/>
    <w:pPr>
      <w:keepNext/>
      <w:numPr>
        <w:ilvl w:val="2"/>
        <w:numId w:val="3"/>
      </w:numPr>
      <w:tabs>
        <w:tab w:val="clear" w:pos="0"/>
      </w:tabs>
      <w:spacing w:after="240" w:line="240" w:lineRule="auto"/>
    </w:pPr>
    <w:rPr>
      <w:rFonts w:ascii="Times New Roman" w:hAnsi="Times New Roman" w:eastAsia="Times New Roman" w:cs="Arial"/>
      <w:b/>
      <w:bCs/>
      <w:sz w:val="24"/>
      <w:szCs w:val="24"/>
      <w:lang w:val="en-US" w:eastAsia="en-US" w:bidi="ar-SA"/>
    </w:rPr>
  </w:style>
  <w:style w:type="character" w:customStyle="1" w:styleId="39">
    <w:name w:val="fontstyle01"/>
    <w:basedOn w:val="12"/>
    <w:uiPriority w:val="0"/>
    <w:rPr>
      <w:rFonts w:hint="default" w:ascii="GothamNarrow-Bold" w:hAnsi="GothamNarrow-Bold"/>
      <w:b/>
      <w:bCs/>
      <w:color w:val="242021"/>
      <w:sz w:val="14"/>
      <w:szCs w:val="14"/>
    </w:rPr>
  </w:style>
  <w:style w:type="character" w:customStyle="1" w:styleId="40">
    <w:name w:val="fontstyle11"/>
    <w:basedOn w:val="12"/>
    <w:uiPriority w:val="0"/>
    <w:rPr>
      <w:rFonts w:hint="default" w:ascii="GothamNarrow-Book" w:hAnsi="GothamNarrow-Book"/>
      <w:color w:val="242021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8667CB8EA3E642920CCDCEEF412A89" ma:contentTypeVersion="12" ma:contentTypeDescription="Create a new document." ma:contentTypeScope="" ma:versionID="ec4c18f4479550a9458180aef6ef107a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0d87306f62b17623303239989ae8fa98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5F0F61-9C0C-4B4A-91C2-913158A91286}">
  <ds:schemaRefs/>
</ds:datastoreItem>
</file>

<file path=customXml/itemProps3.xml><?xml version="1.0" encoding="utf-8"?>
<ds:datastoreItem xmlns:ds="http://schemas.openxmlformats.org/officeDocument/2006/customXml" ds:itemID="{BD3C332C-DE0D-4BDB-AA36-555332780FD2}">
  <ds:schemaRefs/>
</ds:datastoreItem>
</file>

<file path=customXml/itemProps4.xml><?xml version="1.0" encoding="utf-8"?>
<ds:datastoreItem xmlns:ds="http://schemas.openxmlformats.org/officeDocument/2006/customXml" ds:itemID="{C6529DAF-E344-4D1B-9C28-F5C2332795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891</Words>
  <Characters>4902</Characters>
  <Lines>40</Lines>
  <Paragraphs>11</Paragraphs>
  <TotalTime>7</TotalTime>
  <ScaleCrop>false</ScaleCrop>
  <LinksUpToDate>false</LinksUpToDate>
  <CharactersWithSpaces>5782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2021-01-19T11:00:00Z</dcterms:created>
  <dc:creator>Victoria</dc:creator>
  <cp:lastModifiedBy>mluci</cp:lastModifiedBy>
  <dcterms:modified xsi:type="dcterms:W3CDTF">2021-03-05T18:17:04Z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  <property fmtid="{D5CDD505-2E9C-101B-9397-08002B2CF9AE}" pid="3" name="KSOProductBuildVer">
    <vt:lpwstr>1033-11.2.0.9984</vt:lpwstr>
  </property>
</Properties>
</file>