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Breath in and </w:t>
      </w:r>
      <w:proofErr w:type="gramStart"/>
      <w:r w:rsidRPr="001D0754">
        <w:rPr>
          <w:rFonts w:cstheme="minorHAnsi"/>
          <w:i/>
          <w:iCs/>
          <w:lang w:val="en-US"/>
        </w:rPr>
        <w:t>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</w:t>
      </w:r>
      <w:proofErr w:type="gramEnd"/>
      <w:r w:rsidRPr="001D0754">
        <w:rPr>
          <w:rFonts w:cstheme="minorHAnsi"/>
          <w:i/>
          <w:iCs/>
          <w:lang w:val="en-US"/>
        </w:rPr>
        <w:t xml:space="preserve">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B4BB9FD" w:rsidR="00C32E34" w:rsidRPr="009D1F3B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drivers of transmission</w:t>
            </w:r>
          </w:p>
        </w:tc>
        <w:tc>
          <w:tcPr>
            <w:tcW w:w="4449" w:type="dxa"/>
          </w:tcPr>
          <w:p w14:paraId="0BC73C5D" w14:textId="44A0D7F6" w:rsidR="00C32E34" w:rsidRPr="009D1F3B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facilitadores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transmisión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477CC8B9" w:rsidR="00C32E34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vulnerability</w:t>
            </w:r>
          </w:p>
        </w:tc>
        <w:tc>
          <w:tcPr>
            <w:tcW w:w="4449" w:type="dxa"/>
          </w:tcPr>
          <w:p w14:paraId="1479DEB3" w14:textId="4DEA475A" w:rsidR="00C32E34" w:rsidRPr="000C67EA" w:rsidRDefault="00D43515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susceptibilidad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934B58B" w:rsidR="00C32E34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entomological surveillance</w:t>
            </w:r>
          </w:p>
        </w:tc>
        <w:tc>
          <w:tcPr>
            <w:tcW w:w="4449" w:type="dxa"/>
          </w:tcPr>
          <w:p w14:paraId="39141B9D" w14:textId="456A08F7" w:rsidR="00C32E34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vigilancia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entomológica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47BE5A75" w:rsidR="00C32E34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population movement</w:t>
            </w:r>
          </w:p>
        </w:tc>
        <w:tc>
          <w:tcPr>
            <w:tcW w:w="4449" w:type="dxa"/>
          </w:tcPr>
          <w:p w14:paraId="09A4F8BB" w14:textId="219B3635" w:rsidR="00C32E34" w:rsidRDefault="00D43515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movimientos</w:t>
            </w:r>
            <w:proofErr w:type="spellEnd"/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lang w:val="en-US"/>
              </w:rPr>
              <w:t>migratorios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5791590B" w14:textId="06477FBA" w:rsidR="00472318" w:rsidRPr="00D43515" w:rsidRDefault="00D43515" w:rsidP="00D43515">
            <w:pPr>
              <w:spacing w:line="276" w:lineRule="auto"/>
              <w:rPr>
                <w:rFonts w:cstheme="minorHAnsi"/>
                <w:lang w:val="fr-FR"/>
              </w:rPr>
            </w:pP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Important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datasets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integrated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analyses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.</w:t>
            </w:r>
            <w:r w:rsidRPr="00D43515">
              <w:rPr>
                <w:rFonts w:cstheme="minorHAnsi"/>
                <w:b/>
                <w:bCs/>
              </w:rPr>
              <w:br/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Analyzing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entomological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data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alone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will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rarely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tell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whole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story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show</w:t>
            </w:r>
            <w:proofErr w:type="gram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whole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picture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same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can be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said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epidemiological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data.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Instead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entomological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epidemiological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data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should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analyzed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together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identify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relationships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trends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inform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intervention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selection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lastRenderedPageBreak/>
              <w:t>targeting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</w:t>
            </w:r>
            <w:r w:rsidRPr="00D43515">
              <w:rPr>
                <w:rFonts w:cstheme="minorHAnsi"/>
              </w:rPr>
              <w:br/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Below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list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key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datasets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integration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analysis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visualization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decision-making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</w:t>
            </w:r>
            <w:r w:rsidRPr="00D43515">
              <w:rPr>
                <w:rFonts w:cstheme="minorHAnsi"/>
              </w:rPr>
              <w:br/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Malaria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incidence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week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month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unit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facility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and/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district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and/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village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corresponding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as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close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as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possible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site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(s)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entomological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surveillance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</w:t>
            </w:r>
            <w:r w:rsidRPr="00D43515">
              <w:rPr>
                <w:rFonts w:cstheme="minorHAnsi"/>
              </w:rPr>
              <w:br/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Malaria cases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case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classification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(as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available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indigenous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imported</w:t>
            </w:r>
            <w:proofErr w:type="spellEnd"/>
            <w:r w:rsidRPr="00D43515">
              <w:rPr>
                <w:rFonts w:cstheme="minorHAnsi"/>
              </w:rPr>
              <w:br/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• Mean and/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total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rainfall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week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site</w:t>
            </w:r>
            <w:proofErr w:type="spellEnd"/>
            <w:r w:rsidRPr="00D43515">
              <w:rPr>
                <w:rFonts w:cstheme="minorHAnsi"/>
              </w:rPr>
              <w:br/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Changes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receptivity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and/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importation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risk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(i.e.,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vulnerability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new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construction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sites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population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movement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harvesting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season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, etc.</w:t>
            </w:r>
            <w:r w:rsidRPr="00D43515">
              <w:rPr>
                <w:rFonts w:cstheme="minorHAnsi"/>
              </w:rPr>
              <w:br/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Availability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malaria diagnosis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treatment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antimalarial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stockouts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</w:t>
            </w:r>
            <w:r w:rsidRPr="00D43515">
              <w:rPr>
                <w:rFonts w:cstheme="minorHAnsi"/>
              </w:rPr>
              <w:br/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These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factors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can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all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considered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possible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“drivers”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transmission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along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entomological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drivers (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e.g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outdoor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biting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)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should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included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analysis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interpretation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entomological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data and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indicators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decision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trees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included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ESPT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provide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examples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how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can be done</w:t>
            </w:r>
            <w:r w:rsidRPr="00D43515">
              <w:rPr>
                <w:rFonts w:cstheme="minorHAnsi"/>
                <w:lang w:val="fr-FR"/>
              </w:rPr>
              <w:t>.</w:t>
            </w:r>
          </w:p>
          <w:p w14:paraId="7FFBB957" w14:textId="77777777" w:rsidR="00D43515" w:rsidRPr="00D43515" w:rsidRDefault="00D43515" w:rsidP="00D43515">
            <w:pPr>
              <w:spacing w:line="276" w:lineRule="auto"/>
              <w:rPr>
                <w:rFonts w:cstheme="minorHAnsi"/>
                <w:lang w:val="fr-FR"/>
              </w:rPr>
            </w:pPr>
          </w:p>
          <w:p w14:paraId="2D4C9D5A" w14:textId="7F4B88AD" w:rsidR="00472318" w:rsidRPr="009D1F3B" w:rsidRDefault="00D43515" w:rsidP="00D43515">
            <w:pPr>
              <w:spacing w:line="276" w:lineRule="auto"/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Understanding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how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vector control </w:t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interventions</w:t>
            </w:r>
            <w:proofErr w:type="spellEnd"/>
            <w:r w:rsidRPr="00D43515">
              <w:rPr>
                <w:rFonts w:cstheme="minorHAnsi"/>
                <w:b/>
                <w:bCs/>
              </w:rPr>
              <w:br/>
            </w:r>
            <w:proofErr w:type="spellStart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function</w:t>
            </w:r>
            <w:proofErr w:type="spellEnd"/>
            <w:r w:rsidRPr="00D43515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select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appropriate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indicators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answer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program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questions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important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understand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how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vector control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interventions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exploit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vector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biology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Although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not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exhaustive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list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, Table 5 describes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vector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lastRenderedPageBreak/>
              <w:t>behavioral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traits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are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targeted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by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various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vector control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interventions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Figure 2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illustrates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at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what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these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interventions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function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vector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life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cycle</w:t>
            </w:r>
            <w:proofErr w:type="spellEnd"/>
            <w:r w:rsidRPr="00D4351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49" w:type="dxa"/>
          </w:tcPr>
          <w:p w14:paraId="67A162CD" w14:textId="77777777" w:rsidR="00D43515" w:rsidRPr="00FB1C36" w:rsidRDefault="00D43515" w:rsidP="00D43515">
            <w:pPr>
              <w:spacing w:line="276" w:lineRule="auto"/>
              <w:jc w:val="both"/>
              <w:rPr>
                <w:rFonts w:cs="Calibri"/>
              </w:rPr>
            </w:pPr>
            <w:r w:rsidRPr="00FB1C36">
              <w:rPr>
                <w:b/>
                <w:bCs/>
              </w:rPr>
              <w:lastRenderedPageBreak/>
              <w:t>Conjuntos de datos pertinentes para análisis integrados</w:t>
            </w:r>
          </w:p>
          <w:p w14:paraId="35583E4C" w14:textId="71CDEF9F" w:rsidR="00D43515" w:rsidRDefault="00D43515" w:rsidP="00D43515">
            <w:pPr>
              <w:spacing w:line="276" w:lineRule="auto"/>
              <w:jc w:val="both"/>
              <w:rPr>
                <w:rFonts w:cs="Calibri"/>
              </w:rPr>
            </w:pPr>
            <w:r w:rsidRPr="00FB1C36">
              <w:rPr>
                <w:rFonts w:cs="Calibri"/>
              </w:rPr>
              <w:t>Para ver el panorama completo, es necesario analizar los datos epidemiológicos y los datos entomológicos en conjunto, para identificar relaciones y tendencias, y brindar información al seleccionar y dirigir las intervenciones.</w:t>
            </w:r>
          </w:p>
          <w:p w14:paraId="22A97342" w14:textId="77777777" w:rsidR="00D43515" w:rsidRPr="00FB1C36" w:rsidRDefault="00D43515" w:rsidP="00D43515">
            <w:pPr>
              <w:spacing w:line="276" w:lineRule="auto"/>
              <w:jc w:val="both"/>
              <w:rPr>
                <w:rFonts w:cs="Calibri"/>
              </w:rPr>
            </w:pPr>
            <w:r w:rsidRPr="000F0B1D">
              <w:rPr>
                <w:rFonts w:cs="Calibri"/>
              </w:rPr>
              <w:t>A continuación, encontrará una lista de conjuntos de datos esenciales que deben integrars</w:t>
            </w:r>
            <w:r>
              <w:rPr>
                <w:rFonts w:cs="Calibri"/>
              </w:rPr>
              <w:t>e al</w:t>
            </w:r>
            <w:r w:rsidRPr="000F0B1D">
              <w:rPr>
                <w:rFonts w:cs="Calibri"/>
              </w:rPr>
              <w:t xml:space="preserve"> analizarse, visualizarse y tomar decisiones:</w:t>
            </w:r>
          </w:p>
          <w:p w14:paraId="59B76904" w14:textId="77777777" w:rsidR="00D43515" w:rsidRPr="00FB1C36" w:rsidRDefault="00D43515" w:rsidP="00D43515">
            <w:pPr>
              <w:pStyle w:val="Prrafodelista1"/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lang w:val="es-AR"/>
              </w:rPr>
            </w:pPr>
            <w:r w:rsidRPr="00FB1C36">
              <w:rPr>
                <w:rFonts w:cs="Calibri"/>
                <w:lang w:val="es-AR"/>
              </w:rPr>
              <w:lastRenderedPageBreak/>
              <w:t>Incidencia de malaria semanal o mensual por unidad (centro de salud, distrito o ciudad) lo más cercana posible a los sitios de vigilancia entomológica.</w:t>
            </w:r>
          </w:p>
          <w:p w14:paraId="6C44A793" w14:textId="77777777" w:rsidR="00D43515" w:rsidRPr="00FB1C36" w:rsidRDefault="00D43515" w:rsidP="00D43515">
            <w:pPr>
              <w:pStyle w:val="Prrafodelista1"/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lang w:val="es-AR"/>
              </w:rPr>
            </w:pPr>
            <w:r w:rsidRPr="00FB1C36">
              <w:rPr>
                <w:rFonts w:cs="Calibri"/>
                <w:lang w:val="es-AR"/>
              </w:rPr>
              <w:t>Casos de malaria según la clasificación disponible, incluidos los casos autóctonos e importados.</w:t>
            </w:r>
          </w:p>
          <w:p w14:paraId="20DDAC8A" w14:textId="77777777" w:rsidR="00D43515" w:rsidRPr="00FB1C36" w:rsidRDefault="00D43515" w:rsidP="00D43515">
            <w:pPr>
              <w:pStyle w:val="Prrafodelista1"/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lang w:val="es-AR"/>
              </w:rPr>
            </w:pPr>
            <w:r w:rsidRPr="00FB1C36">
              <w:rPr>
                <w:rFonts w:cs="Calibri"/>
                <w:lang w:val="es-AR"/>
              </w:rPr>
              <w:t>Precipitación media semanal por sitio.</w:t>
            </w:r>
          </w:p>
          <w:p w14:paraId="7330E09A" w14:textId="77777777" w:rsidR="00D43515" w:rsidRPr="00FB1C36" w:rsidRDefault="00D43515" w:rsidP="00D43515">
            <w:pPr>
              <w:pStyle w:val="Prrafodelista1"/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lang w:val="es-AR"/>
              </w:rPr>
            </w:pPr>
            <w:r w:rsidRPr="00FB1C36">
              <w:rPr>
                <w:rFonts w:cs="Calibri"/>
                <w:lang w:val="es-AR"/>
              </w:rPr>
              <w:t>Cambios en la receptividad y en el riesgo de importación (es decir, la susceptibilidad), incluidas nuevas obras en construcción, movimientos migratorios por temporada de cosecha, entre otros.</w:t>
            </w:r>
          </w:p>
          <w:p w14:paraId="3525762C" w14:textId="77777777" w:rsidR="00D43515" w:rsidRPr="00FB1C36" w:rsidRDefault="00D43515" w:rsidP="00D43515">
            <w:pPr>
              <w:pStyle w:val="Prrafodelista1"/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lang w:val="es-AR"/>
              </w:rPr>
            </w:pPr>
            <w:r w:rsidRPr="00FB1C36">
              <w:rPr>
                <w:rFonts w:cs="Calibri"/>
                <w:lang w:val="es-AR"/>
              </w:rPr>
              <w:t>Disponibilidad de diagnóstico y tratamiento de malaria, incluido el desabastecimiento de fármacos.</w:t>
            </w:r>
          </w:p>
          <w:p w14:paraId="046E9DD4" w14:textId="3B1D184D" w:rsidR="00D43515" w:rsidRDefault="00D43515" w:rsidP="00D43515">
            <w:pPr>
              <w:spacing w:line="276" w:lineRule="auto"/>
              <w:jc w:val="both"/>
              <w:rPr>
                <w:rFonts w:cs="Calibri"/>
              </w:rPr>
            </w:pPr>
            <w:r w:rsidRPr="00FB1C36">
              <w:rPr>
                <w:rFonts w:cs="Calibri"/>
              </w:rPr>
              <w:t xml:space="preserve">Estos factores pueden considerarse posibles </w:t>
            </w:r>
            <w:r w:rsidRPr="000F0B1D">
              <w:rPr>
                <w:rFonts w:cs="Calibri"/>
              </w:rPr>
              <w:t>facilitadores</w:t>
            </w:r>
            <w:r w:rsidRPr="00FB1C36">
              <w:rPr>
                <w:rFonts w:cs="Calibri"/>
              </w:rPr>
              <w:t xml:space="preserve"> de transmisión, junto con factores entomológicos (p. ej., picaduras en exterior) y deberían incluirse en cualquier análisis e interpretación de datos e indicadores entomológicos. Los árboles de decisión que figuran en esta</w:t>
            </w:r>
            <w:r w:rsidRPr="000F0B1D">
              <w:rPr>
                <w:rFonts w:cs="Calibri"/>
              </w:rPr>
              <w:t xml:space="preserve"> herramienta</w:t>
            </w:r>
            <w:r w:rsidRPr="00FB1C36">
              <w:rPr>
                <w:rFonts w:cs="Calibri"/>
              </w:rPr>
              <w:t xml:space="preserve"> de planificación de vigilancia entomológica brindan ejemplos de cómo proceder.</w:t>
            </w:r>
          </w:p>
          <w:p w14:paraId="663A0CC0" w14:textId="77777777" w:rsidR="00D85243" w:rsidRDefault="00D85243" w:rsidP="00D43515">
            <w:pPr>
              <w:spacing w:line="276" w:lineRule="auto"/>
              <w:jc w:val="both"/>
              <w:rPr>
                <w:rFonts w:cs="Calibri"/>
              </w:rPr>
            </w:pPr>
          </w:p>
          <w:p w14:paraId="0BAC9528" w14:textId="77777777" w:rsidR="00D43515" w:rsidRDefault="00D43515" w:rsidP="00D43515">
            <w:pPr>
              <w:spacing w:line="276" w:lineRule="auto"/>
              <w:rPr>
                <w:rFonts w:cs="Calibri"/>
                <w:b/>
                <w:bCs/>
              </w:rPr>
            </w:pPr>
            <w:r w:rsidRPr="00FB1C36">
              <w:rPr>
                <w:rFonts w:cs="Calibri"/>
                <w:b/>
                <w:bCs/>
              </w:rPr>
              <w:t>El funcionamiento de las intervenciones de control del vector</w:t>
            </w:r>
          </w:p>
          <w:p w14:paraId="61AED84B" w14:textId="7A6C705F" w:rsidR="00D43515" w:rsidRPr="00D43515" w:rsidRDefault="00D43515" w:rsidP="00D43515">
            <w:pPr>
              <w:spacing w:line="276" w:lineRule="auto"/>
              <w:jc w:val="both"/>
              <w:rPr>
                <w:rFonts w:cs="Calibri"/>
              </w:rPr>
            </w:pPr>
            <w:r w:rsidRPr="000F0B1D">
              <w:rPr>
                <w:rFonts w:ascii="Calibri" w:hAnsi="Calibri" w:cs="Calibri"/>
                <w:color w:val="000000"/>
              </w:rPr>
              <w:t xml:space="preserve">Para seleccionar los indicadores adecuados </w:t>
            </w:r>
            <w:r>
              <w:rPr>
                <w:rFonts w:ascii="Calibri" w:hAnsi="Calibri" w:cs="Calibri"/>
                <w:color w:val="000000"/>
              </w:rPr>
              <w:t>y</w:t>
            </w:r>
            <w:r w:rsidRPr="000F0B1D">
              <w:rPr>
                <w:rFonts w:ascii="Calibri" w:hAnsi="Calibri" w:cs="Calibri"/>
                <w:color w:val="000000"/>
              </w:rPr>
              <w:t xml:space="preserve"> responder a las preguntas del programa, es importante comprender cómo las intervenciones de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F0B1D">
              <w:rPr>
                <w:rFonts w:ascii="Calibri" w:hAnsi="Calibri" w:cs="Calibri"/>
                <w:color w:val="000000"/>
              </w:rPr>
              <w:t xml:space="preserve">control del vector aprovechan </w:t>
            </w:r>
            <w:r>
              <w:rPr>
                <w:rFonts w:ascii="Calibri" w:hAnsi="Calibri" w:cs="Calibri"/>
                <w:color w:val="000000"/>
              </w:rPr>
              <w:t>los aspectos biológicos</w:t>
            </w:r>
            <w:r w:rsidRPr="000F0B1D">
              <w:rPr>
                <w:rFonts w:ascii="Calibri" w:hAnsi="Calibri" w:cs="Calibri"/>
                <w:color w:val="000000"/>
              </w:rPr>
              <w:t xml:space="preserve"> de este. A pesar de no ser una lista exhaustiva, en la </w:t>
            </w:r>
            <w:r w:rsidRPr="000F0B1D">
              <w:rPr>
                <w:rFonts w:ascii="Calibri" w:hAnsi="Calibri" w:cs="Calibri"/>
                <w:color w:val="2F5496"/>
              </w:rPr>
              <w:t xml:space="preserve">Tabla 5 </w:t>
            </w:r>
            <w:r w:rsidRPr="000F0B1D">
              <w:rPr>
                <w:rFonts w:ascii="Calibri" w:hAnsi="Calibri" w:cs="Calibri"/>
                <w:color w:val="000000"/>
              </w:rPr>
              <w:t xml:space="preserve">se describen los rasgos de conducta objetivos de distintas intervenciones de control del vector, mientras que la </w:t>
            </w:r>
            <w:r w:rsidRPr="000F0B1D">
              <w:rPr>
                <w:rFonts w:ascii="Calibri" w:hAnsi="Calibri" w:cs="Calibri"/>
                <w:color w:val="2F5496"/>
              </w:rPr>
              <w:t xml:space="preserve">Figura 2 </w:t>
            </w:r>
            <w:r w:rsidRPr="000F0B1D">
              <w:rPr>
                <w:rFonts w:ascii="Calibri" w:hAnsi="Calibri" w:cs="Calibri"/>
                <w:color w:val="000000"/>
              </w:rPr>
              <w:t>ilustra en qué instancia del ciclo de vida del vector funcionan estas intervenciones.</w:t>
            </w:r>
          </w:p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3C5AADE0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Vulnerability</w:t>
            </w:r>
          </w:p>
        </w:tc>
        <w:tc>
          <w:tcPr>
            <w:tcW w:w="3024" w:type="dxa"/>
          </w:tcPr>
          <w:p w14:paraId="7CBA6972" w14:textId="43AFC08B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susceptibilidad</w:t>
            </w:r>
            <w:proofErr w:type="spellEnd"/>
          </w:p>
        </w:tc>
        <w:tc>
          <w:tcPr>
            <w:tcW w:w="3024" w:type="dxa"/>
          </w:tcPr>
          <w:p w14:paraId="166C29FC" w14:textId="3A1B0F0C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In epidemiological terms, vulnerability should never be translated as “</w:t>
            </w:r>
            <w:proofErr w:type="spellStart"/>
            <w:r>
              <w:rPr>
                <w:noProof w:val="0"/>
                <w:lang w:val="en-US"/>
              </w:rPr>
              <w:t>vulnerabilidad</w:t>
            </w:r>
            <w:proofErr w:type="spellEnd"/>
            <w:r>
              <w:rPr>
                <w:noProof w:val="0"/>
                <w:lang w:val="en-US"/>
              </w:rPr>
              <w:t>”, yet many would oversee this.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5B8F3CCE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Epidemiology specialist </w:t>
            </w:r>
          </w:p>
        </w:tc>
        <w:tc>
          <w:tcPr>
            <w:tcW w:w="4547" w:type="dxa"/>
          </w:tcPr>
          <w:p w14:paraId="7C07549B" w14:textId="73FADFEC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61CEBD15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Diccionario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Médico</w:t>
            </w:r>
            <w:proofErr w:type="spellEnd"/>
            <w:r>
              <w:rPr>
                <w:noProof w:val="0"/>
                <w:lang w:val="en-US"/>
              </w:rPr>
              <w:t xml:space="preserve"> de la </w:t>
            </w:r>
            <w:proofErr w:type="spellStart"/>
            <w:r>
              <w:rPr>
                <w:noProof w:val="0"/>
                <w:lang w:val="en-US"/>
              </w:rPr>
              <w:t>Clínica</w:t>
            </w:r>
            <w:proofErr w:type="spellEnd"/>
            <w:r>
              <w:rPr>
                <w:noProof w:val="0"/>
                <w:lang w:val="en-US"/>
              </w:rPr>
              <w:t xml:space="preserve"> Universidad de Navarra (online version)</w:t>
            </w:r>
          </w:p>
        </w:tc>
        <w:tc>
          <w:tcPr>
            <w:tcW w:w="4547" w:type="dxa"/>
          </w:tcPr>
          <w:p w14:paraId="172CAAB7" w14:textId="3D087241" w:rsidR="00C32E34" w:rsidRPr="002169F4" w:rsidRDefault="00D85243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B0FE2" w14:textId="77777777" w:rsidR="008770F8" w:rsidRDefault="008770F8">
      <w:pPr>
        <w:spacing w:after="0" w:line="240" w:lineRule="auto"/>
      </w:pPr>
      <w:r>
        <w:separator/>
      </w:r>
    </w:p>
  </w:endnote>
  <w:endnote w:type="continuationSeparator" w:id="0">
    <w:p w14:paraId="5B2C5FF3" w14:textId="77777777" w:rsidR="008770F8" w:rsidRDefault="0087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Std-Bd">
    <w:altName w:val="Arial"/>
    <w:panose1 w:val="00000000000000000000"/>
    <w:charset w:val="00"/>
    <w:family w:val="roman"/>
    <w:notTrueType/>
    <w:pitch w:val="default"/>
  </w:font>
  <w:font w:name="HelveticaNeueLTStd-L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460">
    <w:altName w:val="Yu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862DE" w14:textId="77777777" w:rsidR="008770F8" w:rsidRDefault="008770F8">
      <w:pPr>
        <w:spacing w:after="0" w:line="240" w:lineRule="auto"/>
      </w:pPr>
      <w:r>
        <w:separator/>
      </w:r>
    </w:p>
  </w:footnote>
  <w:footnote w:type="continuationSeparator" w:id="0">
    <w:p w14:paraId="7DD40291" w14:textId="77777777" w:rsidR="008770F8" w:rsidRDefault="00877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7D4C8" w14:textId="7C636906" w:rsidR="00982732" w:rsidRDefault="00982732" w:rsidP="00982732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8770F8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3" w15:restartNumberingAfterBreak="0">
    <w:nsid w:val="2ED1508E"/>
    <w:multiLevelType w:val="multilevel"/>
    <w:tmpl w:val="C7B2A8EA"/>
    <w:lvl w:ilvl="0">
      <w:start w:val="1"/>
      <w:numFmt w:val="decimal"/>
      <w:lvlText w:val="%1"/>
      <w:lvlJc w:val="left"/>
      <w:pPr>
        <w:ind w:left="2841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1" w:hanging="72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4260" w:hanging="699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4">
      <w:numFmt w:val="bullet"/>
      <w:lvlText w:val="•"/>
      <w:lvlJc w:val="left"/>
      <w:pPr>
        <w:ind w:left="6595" w:hanging="699"/>
      </w:pPr>
      <w:rPr>
        <w:rFonts w:hint="default"/>
      </w:rPr>
    </w:lvl>
    <w:lvl w:ilvl="5">
      <w:numFmt w:val="bullet"/>
      <w:lvlText w:val="•"/>
      <w:lvlJc w:val="left"/>
      <w:pPr>
        <w:ind w:left="7373" w:hanging="699"/>
      </w:pPr>
      <w:rPr>
        <w:rFonts w:hint="default"/>
      </w:rPr>
    </w:lvl>
    <w:lvl w:ilvl="6">
      <w:numFmt w:val="bullet"/>
      <w:lvlText w:val="•"/>
      <w:lvlJc w:val="left"/>
      <w:pPr>
        <w:ind w:left="8152" w:hanging="699"/>
      </w:pPr>
      <w:rPr>
        <w:rFonts w:hint="default"/>
      </w:rPr>
    </w:lvl>
    <w:lvl w:ilvl="7">
      <w:numFmt w:val="bullet"/>
      <w:lvlText w:val="•"/>
      <w:lvlJc w:val="left"/>
      <w:pPr>
        <w:ind w:left="8930" w:hanging="699"/>
      </w:pPr>
      <w:rPr>
        <w:rFonts w:hint="default"/>
      </w:rPr>
    </w:lvl>
    <w:lvl w:ilvl="8">
      <w:numFmt w:val="bullet"/>
      <w:lvlText w:val="•"/>
      <w:lvlJc w:val="left"/>
      <w:pPr>
        <w:ind w:left="9709" w:hanging="699"/>
      </w:pPr>
      <w:rPr>
        <w:rFonts w:hint="default"/>
      </w:rPr>
    </w:lvl>
  </w:abstractNum>
  <w:abstractNum w:abstractNumId="4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472318"/>
    <w:rsid w:val="00502332"/>
    <w:rsid w:val="005725F5"/>
    <w:rsid w:val="006B63B5"/>
    <w:rsid w:val="00717925"/>
    <w:rsid w:val="00814892"/>
    <w:rsid w:val="00817C43"/>
    <w:rsid w:val="0083356E"/>
    <w:rsid w:val="008770F8"/>
    <w:rsid w:val="00947BA5"/>
    <w:rsid w:val="00970A9B"/>
    <w:rsid w:val="00982732"/>
    <w:rsid w:val="00992EE4"/>
    <w:rsid w:val="00A6385E"/>
    <w:rsid w:val="00A64FA3"/>
    <w:rsid w:val="00A9682A"/>
    <w:rsid w:val="00AD43AB"/>
    <w:rsid w:val="00B92973"/>
    <w:rsid w:val="00BA1735"/>
    <w:rsid w:val="00BA77C8"/>
    <w:rsid w:val="00C32E34"/>
    <w:rsid w:val="00C43D38"/>
    <w:rsid w:val="00CE7801"/>
    <w:rsid w:val="00D43515"/>
    <w:rsid w:val="00D85243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43515"/>
    <w:rPr>
      <w:rFonts w:ascii="HelveticaNeueLTStd-Bd" w:hAnsi="HelveticaNeueLTStd-B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Fuentedeprrafopredeter"/>
    <w:rsid w:val="00D43515"/>
    <w:rPr>
      <w:rFonts w:ascii="HelveticaNeueLTStd-Lt" w:hAnsi="HelveticaNeueLTStd-Lt" w:hint="default"/>
      <w:b w:val="0"/>
      <w:bCs w:val="0"/>
      <w:i w:val="0"/>
      <w:iCs w:val="0"/>
      <w:color w:val="242021"/>
      <w:sz w:val="20"/>
      <w:szCs w:val="20"/>
    </w:rPr>
  </w:style>
  <w:style w:type="paragraph" w:customStyle="1" w:styleId="Prrafodelista1">
    <w:name w:val="Párrafo de lista1"/>
    <w:basedOn w:val="Normal"/>
    <w:rsid w:val="00D43515"/>
    <w:pPr>
      <w:suppressAutoHyphens/>
      <w:spacing w:after="200" w:line="276" w:lineRule="auto"/>
      <w:ind w:left="720"/>
    </w:pPr>
    <w:rPr>
      <w:rFonts w:ascii="Calibri" w:eastAsia="Arial Unicode MS" w:hAnsi="Calibri" w:cs="font46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Loli Orduna</cp:lastModifiedBy>
  <cp:revision>2</cp:revision>
  <dcterms:created xsi:type="dcterms:W3CDTF">2021-01-21T14:35:00Z</dcterms:created>
  <dcterms:modified xsi:type="dcterms:W3CDTF">2021-01-21T14:35:00Z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