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 xml:space="preserve">Welcome to </w:t>
      </w:r>
      <w:proofErr w:type="spellStart"/>
      <w:r w:rsidRPr="00A00C1B">
        <w:rPr>
          <w:rFonts w:cstheme="minorHAnsi"/>
          <w:b/>
          <w:bCs/>
          <w:i/>
          <w:iCs/>
          <w:lang w:val="en-US"/>
        </w:rPr>
        <w:t>Stillman</w:t>
      </w:r>
      <w:proofErr w:type="spellEnd"/>
      <w:r w:rsidRPr="00A00C1B">
        <w:rPr>
          <w:rFonts w:cstheme="minorHAnsi"/>
          <w:b/>
          <w:bCs/>
          <w:i/>
          <w:iCs/>
          <w:lang w:val="en-US"/>
        </w:rPr>
        <w:t xml:space="preserve">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The goal of this request is to analyze your performance and </w:t>
      </w:r>
      <w:proofErr w:type="gramStart"/>
      <w:r w:rsidRPr="001D0754">
        <w:rPr>
          <w:rFonts w:cstheme="minorHAnsi"/>
          <w:i/>
          <w:iCs/>
          <w:lang w:val="en-US"/>
        </w:rPr>
        <w:t>your</w:t>
      </w:r>
      <w:proofErr w:type="gramEnd"/>
      <w:r w:rsidRPr="001D0754">
        <w:rPr>
          <w:rFonts w:cstheme="minorHAnsi"/>
          <w:i/>
          <w:iCs/>
          <w:lang w:val="en-US"/>
        </w:rPr>
        <w:t xml:space="preserve">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proofErr w:type="gramStart"/>
      <w:r w:rsidRPr="001D0754">
        <w:rPr>
          <w:rFonts w:cstheme="minorHAnsi"/>
          <w:i/>
          <w:iCs/>
          <w:lang w:val="en-US"/>
        </w:rPr>
        <w:t>Breath</w:t>
      </w:r>
      <w:proofErr w:type="gramEnd"/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175552" w14:paraId="7F20A270" w14:textId="77777777" w:rsidTr="009657B8">
        <w:tc>
          <w:tcPr>
            <w:tcW w:w="535" w:type="dxa"/>
          </w:tcPr>
          <w:p w14:paraId="39BA764B" w14:textId="77777777" w:rsidR="00C32E34" w:rsidRPr="00175552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175552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175552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:rsidRPr="00175552" w14:paraId="75636ECF" w14:textId="77777777" w:rsidTr="009657B8">
        <w:tc>
          <w:tcPr>
            <w:tcW w:w="535" w:type="dxa"/>
          </w:tcPr>
          <w:p w14:paraId="2204976E" w14:textId="77777777" w:rsidR="00C32E34" w:rsidRPr="00175552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1BCA2CE5" w:rsidR="00C32E34" w:rsidRPr="00175552" w:rsidRDefault="00B5463A" w:rsidP="00B5463A">
            <w:pPr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/>
                <w:sz w:val="20"/>
                <w:szCs w:val="20"/>
                <w:lang w:val="en-GB"/>
              </w:rPr>
              <w:t>Employee Retirement Income Security Act of 1974 (ERISA)</w:t>
            </w:r>
          </w:p>
        </w:tc>
        <w:tc>
          <w:tcPr>
            <w:tcW w:w="4449" w:type="dxa"/>
          </w:tcPr>
          <w:p w14:paraId="0BC73C5D" w14:textId="67BF7305" w:rsidR="00C32E34" w:rsidRPr="00175552" w:rsidRDefault="00B5463A" w:rsidP="00B5463A">
            <w:pPr>
              <w:rPr>
                <w:rFonts w:cstheme="minorHAnsi"/>
                <w:color w:val="000000" w:themeColor="text1"/>
                <w:lang w:val="es-ES"/>
              </w:rPr>
            </w:pPr>
            <w:r w:rsidRPr="00175552">
              <w:rPr>
                <w:rFonts w:cstheme="minorHAnsi"/>
                <w:sz w:val="20"/>
                <w:szCs w:val="20"/>
                <w:lang w:val="es-ES"/>
              </w:rPr>
              <w:t xml:space="preserve">La </w:t>
            </w:r>
            <w:proofErr w:type="spellStart"/>
            <w:r w:rsidRPr="00175552">
              <w:rPr>
                <w:rFonts w:cstheme="minorHAnsi"/>
                <w:i/>
                <w:iCs/>
                <w:sz w:val="20"/>
                <w:szCs w:val="20"/>
                <w:lang w:val="es-ES"/>
              </w:rPr>
              <w:t>Employee</w:t>
            </w:r>
            <w:proofErr w:type="spellEnd"/>
            <w:r w:rsidRPr="00175552">
              <w:rPr>
                <w:rFonts w:cstheme="minorHAnsi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75552">
              <w:rPr>
                <w:rFonts w:cstheme="minorHAnsi"/>
                <w:i/>
                <w:iCs/>
                <w:sz w:val="20"/>
                <w:szCs w:val="20"/>
                <w:lang w:val="es-ES"/>
              </w:rPr>
              <w:t>Retirement</w:t>
            </w:r>
            <w:proofErr w:type="spellEnd"/>
            <w:r w:rsidRPr="00175552">
              <w:rPr>
                <w:rFonts w:cstheme="minorHAnsi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75552">
              <w:rPr>
                <w:rFonts w:cstheme="minorHAnsi"/>
                <w:i/>
                <w:iCs/>
                <w:sz w:val="20"/>
                <w:szCs w:val="20"/>
                <w:lang w:val="es-ES"/>
              </w:rPr>
              <w:t>Income</w:t>
            </w:r>
            <w:proofErr w:type="spellEnd"/>
            <w:r w:rsidRPr="00175552">
              <w:rPr>
                <w:rFonts w:cstheme="minorHAnsi"/>
                <w:i/>
                <w:iCs/>
                <w:sz w:val="20"/>
                <w:szCs w:val="20"/>
                <w:lang w:val="es-ES"/>
              </w:rPr>
              <w:t xml:space="preserve"> Security </w:t>
            </w:r>
            <w:proofErr w:type="spellStart"/>
            <w:r w:rsidRPr="00175552">
              <w:rPr>
                <w:rFonts w:cstheme="minorHAnsi"/>
                <w:i/>
                <w:iCs/>
                <w:sz w:val="20"/>
                <w:szCs w:val="20"/>
                <w:lang w:val="es-ES"/>
              </w:rPr>
              <w:t>Act</w:t>
            </w:r>
            <w:proofErr w:type="spellEnd"/>
            <w:r w:rsidRPr="00175552">
              <w:rPr>
                <w:rFonts w:cstheme="minorHAnsi"/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175552">
              <w:rPr>
                <w:rFonts w:cstheme="minorHAnsi"/>
                <w:sz w:val="20"/>
                <w:szCs w:val="20"/>
                <w:lang w:val="es-ES"/>
              </w:rPr>
              <w:t xml:space="preserve">de 1974 (Ley </w:t>
            </w:r>
            <w:r w:rsidRPr="00175552">
              <w:rPr>
                <w:rFonts w:cstheme="minorHAnsi"/>
                <w:sz w:val="20"/>
                <w:szCs w:val="20"/>
                <w:lang w:val="es-ES"/>
              </w:rPr>
              <w:t>estadounidense para</w:t>
            </w:r>
            <w:r w:rsidRPr="00175552">
              <w:rPr>
                <w:rFonts w:cstheme="minorHAnsi"/>
                <w:sz w:val="20"/>
                <w:szCs w:val="20"/>
                <w:lang w:val="es-ES"/>
              </w:rPr>
              <w:t xml:space="preserve"> los ingresos de </w:t>
            </w:r>
            <w:r w:rsidRPr="00175552">
              <w:rPr>
                <w:rFonts w:cstheme="minorHAnsi"/>
                <w:sz w:val="20"/>
                <w:szCs w:val="20"/>
                <w:lang w:val="es-ES"/>
              </w:rPr>
              <w:t xml:space="preserve">jubilación de los empleados, en adelante </w:t>
            </w:r>
            <w:r w:rsidRPr="00175552">
              <w:rPr>
                <w:rFonts w:cstheme="minorHAnsi"/>
                <w:sz w:val="20"/>
                <w:szCs w:val="20"/>
                <w:lang w:val="es-ES"/>
              </w:rPr>
              <w:t>ERISA)</w:t>
            </w:r>
          </w:p>
        </w:tc>
      </w:tr>
      <w:tr w:rsidR="00C32E34" w:rsidRPr="00175552" w14:paraId="22612430" w14:textId="77777777" w:rsidTr="009657B8">
        <w:tc>
          <w:tcPr>
            <w:tcW w:w="535" w:type="dxa"/>
          </w:tcPr>
          <w:p w14:paraId="029EEFCB" w14:textId="77777777" w:rsidR="00C32E34" w:rsidRPr="00175552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6CD52963" w:rsidR="00C32E34" w:rsidRPr="00175552" w:rsidRDefault="00CF58E2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/>
                <w:sz w:val="20"/>
                <w:szCs w:val="20"/>
                <w:lang w:val="en-GB"/>
              </w:rPr>
              <w:t>out-of-network</w:t>
            </w:r>
          </w:p>
        </w:tc>
        <w:tc>
          <w:tcPr>
            <w:tcW w:w="4449" w:type="dxa"/>
          </w:tcPr>
          <w:p w14:paraId="1479DEB3" w14:textId="2A4A109A" w:rsidR="00C32E34" w:rsidRPr="00175552" w:rsidRDefault="00CF58E2" w:rsidP="009657B8">
            <w:pPr>
              <w:rPr>
                <w:rFonts w:cstheme="minorHAnsi"/>
                <w:color w:val="000000" w:themeColor="text1"/>
              </w:rPr>
            </w:pPr>
            <w:r w:rsidRPr="00175552">
              <w:rPr>
                <w:rFonts w:cstheme="minorHAnsi"/>
                <w:color w:val="000000" w:themeColor="text1"/>
              </w:rPr>
              <w:t>sin cobertura, que no cubre el seguro</w:t>
            </w:r>
          </w:p>
        </w:tc>
      </w:tr>
      <w:tr w:rsidR="00C32E34" w:rsidRPr="00175552" w14:paraId="53742921" w14:textId="77777777" w:rsidTr="009657B8">
        <w:tc>
          <w:tcPr>
            <w:tcW w:w="535" w:type="dxa"/>
          </w:tcPr>
          <w:p w14:paraId="03B610E5" w14:textId="77777777" w:rsidR="00C32E34" w:rsidRPr="00175552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4418F112" w:rsidR="00C32E34" w:rsidRPr="00175552" w:rsidRDefault="00CF58E2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/>
                <w:sz w:val="20"/>
                <w:szCs w:val="20"/>
                <w:lang w:val="en-GB"/>
              </w:rPr>
              <w:t>in-network</w:t>
            </w:r>
          </w:p>
        </w:tc>
        <w:tc>
          <w:tcPr>
            <w:tcW w:w="4449" w:type="dxa"/>
          </w:tcPr>
          <w:p w14:paraId="39141B9D" w14:textId="55FB4FAB" w:rsidR="00C32E34" w:rsidRPr="00175552" w:rsidRDefault="00CF58E2" w:rsidP="009657B8">
            <w:pPr>
              <w:rPr>
                <w:rFonts w:cstheme="minorHAnsi"/>
                <w:color w:val="000000" w:themeColor="text1"/>
                <w:lang w:val="es-ES"/>
              </w:rPr>
            </w:pPr>
            <w:r w:rsidRPr="00175552">
              <w:rPr>
                <w:rFonts w:cstheme="minorHAnsi"/>
                <w:color w:val="000000" w:themeColor="text1"/>
                <w:lang w:val="es-ES"/>
              </w:rPr>
              <w:t>con cobertura, que cubre el seguro</w:t>
            </w:r>
          </w:p>
        </w:tc>
      </w:tr>
      <w:tr w:rsidR="00C32E34" w:rsidRPr="00175552" w14:paraId="18E6CD84" w14:textId="77777777" w:rsidTr="009657B8">
        <w:tc>
          <w:tcPr>
            <w:tcW w:w="535" w:type="dxa"/>
          </w:tcPr>
          <w:p w14:paraId="2A5AC1B0" w14:textId="77777777" w:rsidR="00C32E34" w:rsidRPr="00175552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5C48792F" w:rsidR="00C32E34" w:rsidRPr="00175552" w:rsidRDefault="00CF58E2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/>
                <w:sz w:val="20"/>
                <w:szCs w:val="20"/>
                <w:lang w:val="en-GB"/>
              </w:rPr>
              <w:t>p</w:t>
            </w:r>
            <w:r w:rsidRPr="00175552">
              <w:rPr>
                <w:rFonts w:cstheme="minorHAnsi"/>
                <w:color w:val="000000"/>
                <w:sz w:val="20"/>
                <w:szCs w:val="20"/>
                <w:lang w:val="en-GB"/>
              </w:rPr>
              <w:t>rovider</w:t>
            </w:r>
            <w:r w:rsidRPr="00175552">
              <w:rPr>
                <w:rFonts w:cstheme="minorHAnsi"/>
                <w:color w:val="000000"/>
                <w:sz w:val="20"/>
                <w:szCs w:val="20"/>
                <w:lang w:val="en-GB"/>
              </w:rPr>
              <w:t>(s)</w:t>
            </w:r>
          </w:p>
        </w:tc>
        <w:tc>
          <w:tcPr>
            <w:tcW w:w="4449" w:type="dxa"/>
          </w:tcPr>
          <w:p w14:paraId="09A4F8BB" w14:textId="66961946" w:rsidR="00C32E34" w:rsidRPr="00175552" w:rsidRDefault="00CF58E2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175552">
              <w:rPr>
                <w:rFonts w:cstheme="minorHAnsi"/>
                <w:color w:val="000000" w:themeColor="text1"/>
                <w:lang w:val="en-US"/>
              </w:rPr>
              <w:t xml:space="preserve">personal, </w:t>
            </w:r>
            <w:proofErr w:type="spellStart"/>
            <w:r w:rsidRPr="00175552">
              <w:rPr>
                <w:rFonts w:cstheme="minorHAnsi"/>
                <w:color w:val="000000" w:themeColor="text1"/>
                <w:lang w:val="en-US"/>
              </w:rPr>
              <w:t>profesional</w:t>
            </w:r>
            <w:proofErr w:type="spellEnd"/>
            <w:r w:rsidRPr="00175552">
              <w:rPr>
                <w:rFonts w:cstheme="minorHAnsi"/>
                <w:color w:val="000000" w:themeColor="text1"/>
                <w:lang w:val="en-US"/>
              </w:rPr>
              <w:t>(</w:t>
            </w:r>
            <w:proofErr w:type="spellStart"/>
            <w:r w:rsidRPr="00175552">
              <w:rPr>
                <w:rFonts w:cstheme="minorHAnsi"/>
                <w:color w:val="000000" w:themeColor="text1"/>
                <w:lang w:val="en-US"/>
              </w:rPr>
              <w:t>es</w:t>
            </w:r>
            <w:proofErr w:type="spellEnd"/>
            <w:r w:rsidRPr="00175552">
              <w:rPr>
                <w:rFonts w:cstheme="minorHAnsi"/>
                <w:color w:val="000000" w:themeColor="text1"/>
                <w:lang w:val="en-US"/>
              </w:rPr>
              <w:t>)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4"/>
        <w:gridCol w:w="3995"/>
      </w:tblGrid>
      <w:tr w:rsidR="00472318" w:rsidRPr="006632B6" w14:paraId="450D9B13" w14:textId="77777777" w:rsidTr="00414538">
        <w:tc>
          <w:tcPr>
            <w:tcW w:w="3964" w:type="dxa"/>
          </w:tcPr>
          <w:p w14:paraId="0C3C082F" w14:textId="75963AF1" w:rsidR="00472318" w:rsidRPr="006632B6" w:rsidRDefault="00472318" w:rsidP="00B41EB5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2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Source</w:t>
            </w:r>
          </w:p>
        </w:tc>
        <w:tc>
          <w:tcPr>
            <w:tcW w:w="3995" w:type="dxa"/>
          </w:tcPr>
          <w:p w14:paraId="7612A9EB" w14:textId="3C59534D" w:rsidR="00472318" w:rsidRPr="006632B6" w:rsidRDefault="00472318" w:rsidP="00B41EB5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2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Target</w:t>
            </w:r>
          </w:p>
        </w:tc>
      </w:tr>
      <w:tr w:rsidR="00472318" w:rsidRPr="006632B6" w14:paraId="1D0BC489" w14:textId="77777777" w:rsidTr="00414538">
        <w:tc>
          <w:tcPr>
            <w:tcW w:w="3964" w:type="dxa"/>
          </w:tcPr>
          <w:p w14:paraId="1612C5C3" w14:textId="72F45415" w:rsidR="00D6118C" w:rsidRPr="006632B6" w:rsidRDefault="00D6118C" w:rsidP="006632B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Covid-19 also creates unique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affo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rdability challenges related to surprise medical billing, which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ca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n occur when a patient receives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t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reatment from an out-of-network physician at an in-network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faci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lity. Staffing shortages and triage protocols make it more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likel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y that patients will be sent to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out-of-network facilities or be seen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by out-of-network providers when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they 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cannot check providers’ network status. Furthermore, provider shortages may require providers to fill in care gaps for many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condition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s, not just Covid-19, 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lastRenderedPageBreak/>
              <w:t>expanding the potential for out-of</w:t>
            </w:r>
            <w:r w:rsidR="00B5463A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-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network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care and surprise bills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 during this time. Though more than half the states offer some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surprise-bi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lling protections, policymakers should eliminate bills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fro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m out-of-network providers that exceed in-network cost-sharing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l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imits for any medical treatment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re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ceived during the public health emergency.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While states s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hould continue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leadin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g the way on Covid-19 policies, comprehensive protections demand federal intervention. The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Empl</w:t>
            </w:r>
            <w:r w:rsid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oyee Retirement Income Security 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Act of 1974 (ERISA) prohibits</w:t>
            </w:r>
          </w:p>
          <w:p w14:paraId="5D0EA851" w14:textId="3F9ECF22" w:rsidR="00D6118C" w:rsidRPr="006632B6" w:rsidRDefault="006632B6" w:rsidP="006632B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State laws governing health </w:t>
            </w:r>
            <w:r w:rsidR="00D6118C"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insuran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ce from applying to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selfinsured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="00D6118C"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employer pl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ans, typically offered by large employers such </w:t>
            </w:r>
            <w:r w:rsidR="00D6118C"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s Apple, Intuit, and Microsoft. </w:t>
            </w:r>
            <w:r w:rsidR="00D6118C"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As a result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, current state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surprisebilling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 protections, cost-sharing </w:t>
            </w:r>
            <w:r w:rsidR="00D6118C"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proh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ibitions, and coverage mandates will not apply to nearly 60% </w:t>
            </w:r>
            <w:r w:rsidR="00D6118C"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of 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mericans with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employersponsored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="00D6118C"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health insurance (nearly</w:t>
            </w:r>
          </w:p>
          <w:p w14:paraId="2D4C9D5A" w14:textId="2F6E227F" w:rsidR="00472318" w:rsidRPr="006632B6" w:rsidRDefault="00D6118C" w:rsidP="006632B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30% of the population).</w:t>
            </w:r>
            <w:r w:rsidRPr="006632B6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ERISA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thus leaves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millions of people unprotected by state health care reforms. Absent a federal response,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states can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avoid some ERISA entanglements by directly prohibiting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prov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iders from charging </w:t>
            </w:r>
            <w:proofErr w:type="spellStart"/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>costsharing</w:t>
            </w:r>
            <w:proofErr w:type="spellEnd"/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rates for Covid-19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treat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ment and from surprise billing, but historically this approach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h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as been politically infeasible. Perhaps Covid-19 provides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th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e necessary impetus for change.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Never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before has the interdependence of all our health, finances,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and social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fabric been so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st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arkly visible. Never before has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t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he need for health care reforms that ensure universal access to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af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fordable care for all Americans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b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een more apparent. Our policies on health and health care, both during this pandemic and in the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futur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e, should reflect this reality,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an</w:t>
            </w:r>
            <w:r w:rsidR="006632B6">
              <w:rPr>
                <w:rFonts w:ascii="Calibri" w:hAnsi="Calibri" w:cs="Calibri"/>
                <w:sz w:val="20"/>
                <w:szCs w:val="20"/>
                <w:lang w:val="en-GB"/>
              </w:rPr>
              <w:t xml:space="preserve">d we should not let the lessons </w:t>
            </w:r>
            <w:r w:rsidRPr="006632B6">
              <w:rPr>
                <w:rFonts w:ascii="Calibri" w:hAnsi="Calibri" w:cs="Calibri"/>
                <w:sz w:val="20"/>
                <w:szCs w:val="20"/>
                <w:lang w:val="en-GB"/>
              </w:rPr>
              <w:t>of this crisis pass us by.</w:t>
            </w:r>
          </w:p>
        </w:tc>
        <w:tc>
          <w:tcPr>
            <w:tcW w:w="3995" w:type="dxa"/>
          </w:tcPr>
          <w:p w14:paraId="6F3D484E" w14:textId="41074F11" w:rsidR="006B5C34" w:rsidRPr="006632B6" w:rsidRDefault="006632B6" w:rsidP="00B5463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lastRenderedPageBreak/>
              <w:t>La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COVID-19 también supone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verdaderos desafíos de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asequ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ibilidad en lo que se refiere 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las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facturas médicas sorpresa, que pueden aparecer cuando a un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paciente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>lo t</w:t>
            </w:r>
            <w:r w:rsidR="00B5463A">
              <w:rPr>
                <w:rFonts w:ascii="Calibri" w:hAnsi="Calibri" w:cs="Calibri"/>
                <w:sz w:val="20"/>
                <w:szCs w:val="20"/>
                <w:lang w:val="es-ES"/>
              </w:rPr>
              <w:t>rata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="00B5463A">
              <w:rPr>
                <w:rFonts w:ascii="Calibri" w:hAnsi="Calibri" w:cs="Calibri"/>
                <w:sz w:val="20"/>
                <w:szCs w:val="20"/>
                <w:lang w:val="es-ES"/>
              </w:rPr>
              <w:t>un médico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que no cubre el seguro</w:t>
            </w:r>
            <w:r w:rsidR="0081035E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en instalaciones que sí tienen cobertura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. La escasez de personal y los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p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rotocolos de intervención hacen más probable que, cuando no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pue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den comprobarse las coberturas,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a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los pacientes se les traslade 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instalaciones o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los traten médicos que no </w:t>
            </w:r>
            <w:r w:rsidR="0081035E">
              <w:rPr>
                <w:rFonts w:ascii="Calibri" w:hAnsi="Calibri" w:cs="Calibri"/>
                <w:sz w:val="20"/>
                <w:szCs w:val="20"/>
                <w:lang w:val="es-ES"/>
              </w:rPr>
              <w:t>cubre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su seguro.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Adem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ás, la escasez de personal para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tra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tar muchas </w:t>
            </w:r>
            <w:r w:rsidR="0081035E">
              <w:rPr>
                <w:rFonts w:ascii="Calibri" w:hAnsi="Calibri" w:cs="Calibri"/>
                <w:sz w:val="20"/>
                <w:szCs w:val="20"/>
                <w:lang w:val="es-ES"/>
              </w:rPr>
              <w:t>enfermedades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lastRenderedPageBreak/>
              <w:t xml:space="preserve">(no solo </w:t>
            </w:r>
            <w:r w:rsidR="0081035E">
              <w:rPr>
                <w:rFonts w:ascii="Calibri" w:hAnsi="Calibri" w:cs="Calibri"/>
                <w:sz w:val="20"/>
                <w:szCs w:val="20"/>
                <w:lang w:val="es-ES"/>
              </w:rPr>
              <w:t>la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COVID-19), puede hacer necesario el servicio de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profe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sionales que no cubra el seguro y aumentar, por lo tanto, la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probabilidad de que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haya facturas sorpresa durante este periodo.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Au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nque más de la mitad de estados ofrecen protección contra estas facturas sorpresa, los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leg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isladores deberían eliminar </w:t>
            </w:r>
            <w:r w:rsidR="0094410A">
              <w:rPr>
                <w:rFonts w:ascii="Calibri" w:hAnsi="Calibri" w:cs="Calibri"/>
                <w:sz w:val="20"/>
                <w:szCs w:val="20"/>
                <w:lang w:val="es-ES"/>
              </w:rPr>
              <w:t>aquellas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="0094410A">
              <w:rPr>
                <w:rFonts w:ascii="Calibri" w:hAnsi="Calibri" w:cs="Calibri"/>
                <w:sz w:val="20"/>
                <w:szCs w:val="20"/>
                <w:lang w:val="es-ES"/>
              </w:rPr>
              <w:t>que exceda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n el límite de costes compartidos que cubre el seguro por cualquier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tratamien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to médico recibido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d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urante el estado de emergencia. Y aunque los estados deberían seguir marcando las pautas de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a</w:t>
            </w:r>
            <w:r w:rsidR="0081035E">
              <w:rPr>
                <w:rFonts w:ascii="Calibri" w:hAnsi="Calibri" w:cs="Calibri"/>
                <w:sz w:val="20"/>
                <w:szCs w:val="20"/>
                <w:lang w:val="es-ES"/>
              </w:rPr>
              <w:t>ctuación frente a la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COVID-19, la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in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tervención federal es necesaria para que haya una protección amplia.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La </w:t>
            </w:r>
            <w:proofErr w:type="spellStart"/>
            <w:r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>Employee</w:t>
            </w:r>
            <w:proofErr w:type="spellEnd"/>
            <w:r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>Retirement</w:t>
            </w:r>
            <w:proofErr w:type="spellEnd"/>
            <w:r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>Income</w:t>
            </w:r>
            <w:proofErr w:type="spellEnd"/>
            <w:r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6632B6"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 xml:space="preserve">Security </w:t>
            </w:r>
            <w:proofErr w:type="spellStart"/>
            <w:r w:rsidRPr="006632B6"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>Act</w:t>
            </w:r>
            <w:proofErr w:type="spellEnd"/>
            <w:r w:rsidRPr="006632B6">
              <w:rPr>
                <w:rFonts w:ascii="Calibri" w:hAnsi="Calibri" w:cs="Calibri"/>
                <w:i/>
                <w:i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de 1974 (Ley </w:t>
            </w:r>
            <w:r w:rsidR="00B5463A">
              <w:rPr>
                <w:rFonts w:ascii="Calibri" w:hAnsi="Calibri" w:cs="Calibri"/>
                <w:sz w:val="20"/>
                <w:szCs w:val="20"/>
                <w:lang w:val="es-ES"/>
              </w:rPr>
              <w:t>estadounidense para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los ingresos de </w:t>
            </w:r>
            <w:r w:rsidR="00B5463A">
              <w:rPr>
                <w:rFonts w:ascii="Calibri" w:hAnsi="Calibri" w:cs="Calibri"/>
                <w:sz w:val="20"/>
                <w:szCs w:val="20"/>
                <w:lang w:val="es-ES"/>
              </w:rPr>
              <w:t>jubilación de los empleados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, en adelante ERISA) prohíbe que las leyes estatales </w:t>
            </w:r>
            <w:r w:rsidR="0094410A">
              <w:rPr>
                <w:rFonts w:ascii="Calibri" w:hAnsi="Calibri" w:cs="Calibri"/>
                <w:sz w:val="20"/>
                <w:szCs w:val="20"/>
                <w:lang w:val="es-ES"/>
              </w:rPr>
              <w:t>sobre cobertura sanitaria s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e apliquen a los planes que normalmente ofrecen empresas </w:t>
            </w:r>
            <w:proofErr w:type="spellStart"/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au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>toaseguradas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como Apple, Intuit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y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Microsoft. Como resultado, la protección contra facturas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so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rpresa, las prohibiciones en el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rep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arto de costes y las exigencias de cobertura no se aplicarán 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ce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rca del 60 % de estadounidenses </w:t>
            </w:r>
            <w:r w:rsidR="0094410A">
              <w:rPr>
                <w:rFonts w:ascii="Calibri" w:hAnsi="Calibri" w:cs="Calibri"/>
                <w:sz w:val="20"/>
                <w:szCs w:val="20"/>
                <w:lang w:val="es-ES"/>
              </w:rPr>
              <w:t>cuyo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seguro </w:t>
            </w:r>
            <w:r w:rsidR="0094410A">
              <w:rPr>
                <w:rFonts w:ascii="Calibri" w:hAnsi="Calibri" w:cs="Calibri"/>
                <w:sz w:val="20"/>
                <w:szCs w:val="20"/>
                <w:lang w:val="es-ES"/>
              </w:rPr>
              <w:t xml:space="preserve">esté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financiado por su empresa (casi el 30 % de la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pobl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ación). Por lo tanto, la ERISA deja sin la protección de las reformas sanitarias estatales 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mill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ones de personas. Ante la falta de una repuesta del Gobierno federal, los estados pueden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squivar las implicaciones de la ERISA y prohibir directamente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tanto que los proveedores cobren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por el reparto de costes de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="0081035E">
              <w:rPr>
                <w:rFonts w:ascii="Calibri" w:hAnsi="Calibri" w:cs="Calibri"/>
                <w:sz w:val="20"/>
                <w:szCs w:val="20"/>
                <w:lang w:val="es-ES"/>
              </w:rPr>
              <w:t>tratamiento contra la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COVID-19 como </w:t>
            </w:r>
            <w:r w:rsidR="0094410A">
              <w:rPr>
                <w:rFonts w:ascii="Calibri" w:hAnsi="Calibri" w:cs="Calibri"/>
                <w:sz w:val="20"/>
                <w:szCs w:val="20"/>
                <w:lang w:val="es-ES"/>
              </w:rPr>
              <w:t>que haya facturas sorpresa; una medida que, sin embargo, nunca ha sido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po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líticamente </w:t>
            </w:r>
            <w:r w:rsidR="0094410A">
              <w:rPr>
                <w:rFonts w:ascii="Calibri" w:hAnsi="Calibri" w:cs="Calibri"/>
                <w:sz w:val="20"/>
                <w:szCs w:val="20"/>
                <w:lang w:val="es-ES"/>
              </w:rPr>
              <w:t>factible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. Quizás </w:t>
            </w:r>
            <w:r w:rsidR="00AC083B">
              <w:rPr>
                <w:rFonts w:ascii="Calibri" w:hAnsi="Calibri" w:cs="Calibri"/>
                <w:sz w:val="20"/>
                <w:szCs w:val="20"/>
                <w:lang w:val="es-ES"/>
              </w:rPr>
              <w:t>la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C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OVID-19 es el impulso necesario para un cambio.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La interdependencia de nuestros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s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istemas sanitario, financiero y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socia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l nunca había sido tan clara. Y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n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unca había sido tan aparente la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n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ecesidad de reformas sanitarias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que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garanticen el acceso universal de todos los estadounidenses a la asistencia sanitaria.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Nuestras políticas de salud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y atención médica, tanto durante la pandemia como en el futuro, deberían reflejar esta realidad, y no deberíamos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ign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orar las lecciones que nos está </w:t>
            </w:r>
            <w:r w:rsidRPr="006632B6">
              <w:rPr>
                <w:rFonts w:ascii="Calibri" w:hAnsi="Calibri" w:cs="Calibri"/>
                <w:sz w:val="20"/>
                <w:szCs w:val="20"/>
                <w:lang w:val="es-ES"/>
              </w:rPr>
              <w:t>dando esta crisis.</w:t>
            </w:r>
          </w:p>
        </w:tc>
      </w:tr>
    </w:tbl>
    <w:p w14:paraId="273A4F89" w14:textId="00DA78EE" w:rsidR="00BA77C8" w:rsidRPr="006632B6" w:rsidRDefault="00BA77C8" w:rsidP="00472318">
      <w:pPr>
        <w:jc w:val="center"/>
        <w:rPr>
          <w:rFonts w:cstheme="minorHAnsi"/>
          <w:color w:val="000000" w:themeColor="text1"/>
          <w:lang w:val="es-E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lastRenderedPageBreak/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3C65A5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32FECDA2" w:rsidR="00C32E34" w:rsidRPr="002169F4" w:rsidRDefault="003C65A5" w:rsidP="009657B8">
            <w:pPr>
              <w:pStyle w:val="Table-Body"/>
              <w:rPr>
                <w:noProof w:val="0"/>
                <w:lang w:val="en-US"/>
              </w:rPr>
            </w:pPr>
            <w:r w:rsidRPr="00175552">
              <w:rPr>
                <w:rFonts w:asciiTheme="minorHAnsi" w:hAnsiTheme="minorHAnsi" w:cstheme="minorHAnsi"/>
                <w:color w:val="000000"/>
              </w:rPr>
              <w:t>Employee Retirement Income Security Act of 1974 (ERISA)</w:t>
            </w:r>
          </w:p>
        </w:tc>
        <w:tc>
          <w:tcPr>
            <w:tcW w:w="3024" w:type="dxa"/>
          </w:tcPr>
          <w:p w14:paraId="7CBA6972" w14:textId="644FFD3F" w:rsidR="00C32E34" w:rsidRPr="003C65A5" w:rsidRDefault="003C65A5" w:rsidP="009657B8">
            <w:pPr>
              <w:pStyle w:val="Table-Body"/>
              <w:rPr>
                <w:noProof w:val="0"/>
                <w:lang w:val="es-ES"/>
              </w:rPr>
            </w:pPr>
            <w:r w:rsidRPr="00175552">
              <w:rPr>
                <w:rFonts w:asciiTheme="minorHAnsi" w:hAnsiTheme="minorHAnsi" w:cstheme="minorHAnsi"/>
                <w:lang w:val="es-ES"/>
              </w:rPr>
              <w:t xml:space="preserve">La </w:t>
            </w:r>
            <w:r w:rsidRPr="00175552">
              <w:rPr>
                <w:rFonts w:asciiTheme="minorHAnsi" w:hAnsiTheme="minorHAnsi" w:cstheme="minorHAnsi"/>
                <w:i w:val="0"/>
                <w:iCs/>
                <w:lang w:val="es-ES"/>
              </w:rPr>
              <w:t xml:space="preserve">Employee Retirement Income Security Act </w:t>
            </w:r>
            <w:r w:rsidRPr="00175552">
              <w:rPr>
                <w:rFonts w:asciiTheme="minorHAnsi" w:hAnsiTheme="minorHAnsi" w:cstheme="minorHAnsi"/>
                <w:lang w:val="es-ES"/>
              </w:rPr>
              <w:t>de 1974 (Ley estadounidense para los ingresos de jubilación de los empleados, en adelante ERISA)</w:t>
            </w:r>
          </w:p>
        </w:tc>
        <w:tc>
          <w:tcPr>
            <w:tcW w:w="3024" w:type="dxa"/>
          </w:tcPr>
          <w:p w14:paraId="166C29FC" w14:textId="2F2692BC" w:rsidR="00C32E34" w:rsidRPr="009E6D96" w:rsidRDefault="003C65A5" w:rsidP="009E6D96">
            <w:pPr>
              <w:pStyle w:val="Table-Body"/>
              <w:rPr>
                <w:rFonts w:asciiTheme="minorHAnsi" w:hAnsiTheme="minorHAnsi" w:cstheme="minorHAnsi"/>
                <w:noProof w:val="0"/>
              </w:rPr>
            </w:pPr>
            <w:r w:rsidRPr="009E6D96">
              <w:rPr>
                <w:rFonts w:asciiTheme="minorHAnsi" w:hAnsiTheme="minorHAnsi" w:cstheme="minorHAnsi"/>
                <w:noProof w:val="0"/>
              </w:rPr>
              <w:t xml:space="preserve">US legislative system has not specific </w:t>
            </w:r>
            <w:r w:rsidR="009E6D96">
              <w:rPr>
                <w:rFonts w:asciiTheme="minorHAnsi" w:hAnsiTheme="minorHAnsi" w:cstheme="minorHAnsi"/>
                <w:noProof w:val="0"/>
              </w:rPr>
              <w:t>equivalence</w:t>
            </w:r>
            <w:r w:rsidRPr="009E6D96">
              <w:rPr>
                <w:rFonts w:asciiTheme="minorHAnsi" w:hAnsiTheme="minorHAnsi" w:cstheme="minorHAnsi"/>
                <w:noProof w:val="0"/>
              </w:rPr>
              <w:t xml:space="preserve"> in Spain, </w:t>
            </w:r>
            <w:r w:rsidR="009E6D96" w:rsidRPr="009E6D96">
              <w:rPr>
                <w:rFonts w:asciiTheme="minorHAnsi" w:hAnsiTheme="minorHAnsi" w:cstheme="minorHAnsi"/>
                <w:noProof w:val="0"/>
              </w:rPr>
              <w:t>which makes explanations necessary</w:t>
            </w:r>
          </w:p>
        </w:tc>
      </w:tr>
      <w:tr w:rsidR="00C32E34" w:rsidRPr="009E6D96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C1E09D3" w:rsidR="00C32E34" w:rsidRPr="009E6D96" w:rsidRDefault="009E6D96" w:rsidP="009657B8">
            <w:pPr>
              <w:pStyle w:val="Table-Body"/>
              <w:rPr>
                <w:rFonts w:ascii="Calibri" w:hAnsi="Calibri" w:cs="Calibri"/>
                <w:noProof w:val="0"/>
              </w:rPr>
            </w:pPr>
            <w:r w:rsidRPr="009E6D96">
              <w:rPr>
                <w:rFonts w:ascii="Calibri" w:hAnsi="Calibri" w:cs="Calibri"/>
                <w:noProof w:val="0"/>
              </w:rPr>
              <w:t>Americans</w:t>
            </w:r>
          </w:p>
        </w:tc>
        <w:tc>
          <w:tcPr>
            <w:tcW w:w="3024" w:type="dxa"/>
          </w:tcPr>
          <w:p w14:paraId="1E68AD91" w14:textId="276BDD6A" w:rsidR="00C32E34" w:rsidRPr="009E6D96" w:rsidRDefault="009E6D96" w:rsidP="009657B8">
            <w:pPr>
              <w:pStyle w:val="Table-Body"/>
              <w:rPr>
                <w:rFonts w:ascii="Calibri" w:hAnsi="Calibri" w:cs="Calibri"/>
                <w:noProof w:val="0"/>
              </w:rPr>
            </w:pPr>
            <w:proofErr w:type="spellStart"/>
            <w:r>
              <w:rPr>
                <w:rFonts w:ascii="Calibri" w:hAnsi="Calibri" w:cs="Calibri"/>
                <w:noProof w:val="0"/>
              </w:rPr>
              <w:t>estadounidenses</w:t>
            </w:r>
            <w:proofErr w:type="spellEnd"/>
          </w:p>
        </w:tc>
        <w:tc>
          <w:tcPr>
            <w:tcW w:w="3024" w:type="dxa"/>
          </w:tcPr>
          <w:p w14:paraId="30D747FA" w14:textId="6CE2C1EB" w:rsidR="00C32E34" w:rsidRPr="009E6D96" w:rsidRDefault="009E6D96" w:rsidP="009E6D96">
            <w:pPr>
              <w:pStyle w:val="Table-Body"/>
              <w:rPr>
                <w:rFonts w:ascii="Calibri" w:hAnsi="Calibri" w:cs="Calibri"/>
                <w:noProof w:val="0"/>
              </w:rPr>
            </w:pPr>
            <w:r>
              <w:rPr>
                <w:rFonts w:ascii="Calibri" w:hAnsi="Calibri" w:cs="Calibri"/>
                <w:noProof w:val="0"/>
              </w:rPr>
              <w:t xml:space="preserve">Many authors refer to US people as "Americans". This needs to be clarified for Spanish readers in Spain. </w:t>
            </w:r>
          </w:p>
        </w:tc>
      </w:tr>
      <w:tr w:rsidR="00C32E34" w:rsidRPr="003C65A5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  <w:tc>
          <w:tcPr>
            <w:tcW w:w="3024" w:type="dxa"/>
          </w:tcPr>
          <w:p w14:paraId="17648998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  <w:tc>
          <w:tcPr>
            <w:tcW w:w="3024" w:type="dxa"/>
          </w:tcPr>
          <w:p w14:paraId="06FF579A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</w:tr>
      <w:tr w:rsidR="00C32E34" w:rsidRPr="003C65A5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  <w:tc>
          <w:tcPr>
            <w:tcW w:w="3024" w:type="dxa"/>
          </w:tcPr>
          <w:p w14:paraId="56BA7AC2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  <w:tc>
          <w:tcPr>
            <w:tcW w:w="3024" w:type="dxa"/>
          </w:tcPr>
          <w:p w14:paraId="4B044BBA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</w:tr>
      <w:tr w:rsidR="00C32E34" w:rsidRPr="003C65A5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  <w:tc>
          <w:tcPr>
            <w:tcW w:w="3024" w:type="dxa"/>
          </w:tcPr>
          <w:p w14:paraId="1510CF7B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  <w:tc>
          <w:tcPr>
            <w:tcW w:w="3024" w:type="dxa"/>
          </w:tcPr>
          <w:p w14:paraId="40F45CE1" w14:textId="77777777" w:rsidR="00C32E34" w:rsidRPr="003C65A5" w:rsidRDefault="00C32E34" w:rsidP="009657B8">
            <w:pPr>
              <w:pStyle w:val="Table-Body"/>
              <w:rPr>
                <w:noProof w:val="0"/>
              </w:rPr>
            </w:pPr>
          </w:p>
        </w:tc>
      </w:tr>
    </w:tbl>
    <w:p w14:paraId="6D7649CD" w14:textId="77777777" w:rsidR="00C32E34" w:rsidRPr="003C65A5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GB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0A2F8521" w:rsidR="00C32E34" w:rsidRPr="005259CC" w:rsidRDefault="005259CC" w:rsidP="005259CC">
            <w:pPr>
              <w:pStyle w:val="NormalWeb"/>
              <w:ind w:left="480" w:hanging="480"/>
            </w:pPr>
            <w:r w:rsidRPr="005259CC">
              <w:rPr>
                <w:lang w:val="en-GB"/>
              </w:rPr>
              <w:t xml:space="preserve">Cheng, K. et al. (2020). Wearing face masks in the community during the COVID-19 pandemic: altruism and solidarity. </w:t>
            </w:r>
            <w:r>
              <w:rPr>
                <w:i/>
                <w:iCs/>
              </w:rPr>
              <w:t xml:space="preserve">The </w:t>
            </w:r>
            <w:proofErr w:type="spellStart"/>
            <w:r>
              <w:rPr>
                <w:i/>
                <w:iCs/>
              </w:rPr>
              <w:t>Lancet</w:t>
            </w:r>
            <w:proofErr w:type="spellEnd"/>
            <w:r>
              <w:t>. https://doi.org/https://doi.org/10.1016/S0140-6736(20)30918-1</w:t>
            </w:r>
          </w:p>
        </w:tc>
        <w:tc>
          <w:tcPr>
            <w:tcW w:w="4547" w:type="dxa"/>
          </w:tcPr>
          <w:p w14:paraId="7C07549B" w14:textId="59756D7B" w:rsidR="00C32E34" w:rsidRPr="002169F4" w:rsidRDefault="00D623E4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  <w:bookmarkStart w:id="1" w:name="_GoBack"/>
            <w:bookmarkEnd w:id="1"/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72CAAB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30774" w14:textId="77777777" w:rsidR="000B773E" w:rsidRDefault="000B773E">
      <w:pPr>
        <w:spacing w:after="0" w:line="240" w:lineRule="auto"/>
      </w:pPr>
      <w:r>
        <w:separator/>
      </w:r>
    </w:p>
  </w:endnote>
  <w:endnote w:type="continuationSeparator" w:id="0">
    <w:p w14:paraId="161158F6" w14:textId="77777777" w:rsidR="000B773E" w:rsidRDefault="000B7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CDFE E+ 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4B511" w14:textId="77777777" w:rsidR="00742B7C" w:rsidRDefault="006B63B5" w:rsidP="00C8481C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079C3" w14:textId="77777777" w:rsidR="000B773E" w:rsidRDefault="000B773E">
      <w:pPr>
        <w:spacing w:after="0" w:line="240" w:lineRule="auto"/>
      </w:pPr>
      <w:r>
        <w:separator/>
      </w:r>
    </w:p>
  </w:footnote>
  <w:footnote w:type="continuationSeparator" w:id="0">
    <w:p w14:paraId="3369F69C" w14:textId="77777777" w:rsidR="000B773E" w:rsidRDefault="000B7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7D4C8" w14:textId="7C636906" w:rsidR="00982732" w:rsidRDefault="00982732" w:rsidP="00982732">
    <w:pPr>
      <w:pStyle w:val="Encabezado"/>
      <w:jc w:val="right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0B773E" w:rsidP="00742B7C">
    <w:pPr>
      <w:pStyle w:val="Encabezado"/>
      <w:jc w:val="right"/>
    </w:pP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BEF0E"/>
    <w:multiLevelType w:val="hybridMultilevel"/>
    <w:tmpl w:val="13CAF7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2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3" w15:restartNumberingAfterBreak="0">
    <w:nsid w:val="4EDF15CB"/>
    <w:multiLevelType w:val="hybridMultilevel"/>
    <w:tmpl w:val="39F655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10F48"/>
    <w:rsid w:val="00094954"/>
    <w:rsid w:val="000B773E"/>
    <w:rsid w:val="00175552"/>
    <w:rsid w:val="001D5956"/>
    <w:rsid w:val="00222AEE"/>
    <w:rsid w:val="0029735B"/>
    <w:rsid w:val="002B46B3"/>
    <w:rsid w:val="003C65A5"/>
    <w:rsid w:val="003D1423"/>
    <w:rsid w:val="00414538"/>
    <w:rsid w:val="00472318"/>
    <w:rsid w:val="00487008"/>
    <w:rsid w:val="00502332"/>
    <w:rsid w:val="005259CC"/>
    <w:rsid w:val="005725F5"/>
    <w:rsid w:val="006632B6"/>
    <w:rsid w:val="006B5C34"/>
    <w:rsid w:val="006B63B5"/>
    <w:rsid w:val="00717925"/>
    <w:rsid w:val="007B722A"/>
    <w:rsid w:val="0081035E"/>
    <w:rsid w:val="00814892"/>
    <w:rsid w:val="00817C43"/>
    <w:rsid w:val="0083356E"/>
    <w:rsid w:val="0094410A"/>
    <w:rsid w:val="00947BA5"/>
    <w:rsid w:val="00970A9B"/>
    <w:rsid w:val="00982732"/>
    <w:rsid w:val="00992EE4"/>
    <w:rsid w:val="009A3960"/>
    <w:rsid w:val="009E6D96"/>
    <w:rsid w:val="00A6385E"/>
    <w:rsid w:val="00A64FA3"/>
    <w:rsid w:val="00A9682A"/>
    <w:rsid w:val="00AC083B"/>
    <w:rsid w:val="00B5463A"/>
    <w:rsid w:val="00B92973"/>
    <w:rsid w:val="00BA1735"/>
    <w:rsid w:val="00BA77C8"/>
    <w:rsid w:val="00C32E34"/>
    <w:rsid w:val="00C43D38"/>
    <w:rsid w:val="00CE7801"/>
    <w:rsid w:val="00CF58E2"/>
    <w:rsid w:val="00D6118C"/>
    <w:rsid w:val="00D623E4"/>
    <w:rsid w:val="00E23080"/>
    <w:rsid w:val="00EB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22A"/>
    <w:pPr>
      <w:autoSpaceDE w:val="0"/>
      <w:autoSpaceDN w:val="0"/>
      <w:adjustRightInd w:val="0"/>
      <w:spacing w:after="0" w:line="240" w:lineRule="auto"/>
    </w:pPr>
    <w:rPr>
      <w:rFonts w:ascii="BCDFE E+ Times New Roman PS" w:hAnsi="BCDFE E+ Times New Roman PS" w:cs="BCDFE E+ Times New Roman PS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unhideWhenUsed/>
    <w:rsid w:val="0052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1174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Alba Garcia</cp:lastModifiedBy>
  <cp:revision>11</cp:revision>
  <dcterms:created xsi:type="dcterms:W3CDTF">2020-10-21T19:04:00Z</dcterms:created>
  <dcterms:modified xsi:type="dcterms:W3CDTF">2021-03-09T18:33:00Z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